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54EE" w14:textId="32C1D412" w:rsidR="00F74340" w:rsidRPr="00F74340" w:rsidRDefault="00F74340" w:rsidP="00F74340">
      <w:pPr>
        <w:pStyle w:val="Subtitle"/>
        <w:rPr>
          <w:bCs/>
          <w:color w:val="9FC64D"/>
        </w:rPr>
      </w:pPr>
      <w:r w:rsidRPr="00F74340">
        <w:rPr>
          <w:bCs/>
          <w:color w:val="9FC64D"/>
        </w:rPr>
        <w:t xml:space="preserve">Annual report of Southern Water </w:t>
      </w:r>
      <w:r>
        <w:rPr>
          <w:bCs/>
          <w:color w:val="9FC64D"/>
        </w:rPr>
        <w:t>I</w:t>
      </w:r>
      <w:r w:rsidRPr="00F74340">
        <w:rPr>
          <w:bCs/>
          <w:color w:val="9FC64D"/>
        </w:rPr>
        <w:t xml:space="preserve">ndependent </w:t>
      </w:r>
      <w:r>
        <w:rPr>
          <w:bCs/>
          <w:color w:val="9FC64D"/>
        </w:rPr>
        <w:t>C</w:t>
      </w:r>
      <w:r w:rsidRPr="00F74340">
        <w:rPr>
          <w:bCs/>
          <w:color w:val="9FC64D"/>
        </w:rPr>
        <w:t>limate</w:t>
      </w:r>
      <w:r>
        <w:rPr>
          <w:bCs/>
          <w:color w:val="9FC64D"/>
        </w:rPr>
        <w:t xml:space="preserve"> and</w:t>
      </w:r>
      <w:r w:rsidRPr="00F74340">
        <w:rPr>
          <w:bCs/>
          <w:color w:val="9FC64D"/>
        </w:rPr>
        <w:t xml:space="preserve"> </w:t>
      </w:r>
      <w:r>
        <w:rPr>
          <w:bCs/>
          <w:color w:val="9FC64D"/>
        </w:rPr>
        <w:t>E</w:t>
      </w:r>
      <w:r w:rsidRPr="00F74340">
        <w:rPr>
          <w:bCs/>
          <w:color w:val="9FC64D"/>
        </w:rPr>
        <w:t xml:space="preserve">nvironment </w:t>
      </w:r>
      <w:r>
        <w:rPr>
          <w:bCs/>
          <w:color w:val="9FC64D"/>
        </w:rPr>
        <w:t>G</w:t>
      </w:r>
      <w:r w:rsidRPr="00F74340">
        <w:rPr>
          <w:bCs/>
          <w:color w:val="9FC64D"/>
        </w:rPr>
        <w:t>roup</w:t>
      </w:r>
    </w:p>
    <w:p w14:paraId="29C3119D" w14:textId="67899141" w:rsidR="00511A8D" w:rsidRPr="00FA75F0" w:rsidRDefault="004034CD" w:rsidP="00C0772E">
      <w:pPr>
        <w:pStyle w:val="Subtitle"/>
        <w:rPr>
          <w:sz w:val="56"/>
          <w:szCs w:val="56"/>
        </w:rPr>
      </w:pPr>
      <w:r>
        <w:rPr>
          <w:sz w:val="56"/>
          <w:szCs w:val="56"/>
        </w:rPr>
        <w:t>202</w:t>
      </w:r>
      <w:r w:rsidR="003F7B75">
        <w:rPr>
          <w:sz w:val="56"/>
          <w:szCs w:val="56"/>
        </w:rPr>
        <w:t>3</w:t>
      </w:r>
      <w:r w:rsidR="00721234">
        <w:rPr>
          <w:sz w:val="56"/>
          <w:szCs w:val="56"/>
        </w:rPr>
        <w:t xml:space="preserve"> H2 </w:t>
      </w:r>
      <w:r w:rsidR="003F7B75">
        <w:rPr>
          <w:sz w:val="56"/>
          <w:szCs w:val="56"/>
        </w:rPr>
        <w:t>-</w:t>
      </w:r>
      <w:r w:rsidR="00721234">
        <w:rPr>
          <w:sz w:val="56"/>
          <w:szCs w:val="56"/>
        </w:rPr>
        <w:t xml:space="preserve">end </w:t>
      </w:r>
      <w:r w:rsidR="003F7B75">
        <w:rPr>
          <w:sz w:val="56"/>
          <w:szCs w:val="56"/>
        </w:rPr>
        <w:t>2</w:t>
      </w:r>
      <w:r w:rsidR="006F7B78">
        <w:rPr>
          <w:sz w:val="56"/>
          <w:szCs w:val="56"/>
        </w:rPr>
        <w:t>4</w:t>
      </w:r>
      <w:r w:rsidR="00721234">
        <w:rPr>
          <w:sz w:val="56"/>
          <w:szCs w:val="56"/>
        </w:rPr>
        <w:t xml:space="preserve"> </w:t>
      </w:r>
    </w:p>
    <w:p w14:paraId="482982B4" w14:textId="72343109" w:rsidR="00364C7C" w:rsidRDefault="00364C7C" w:rsidP="00B05A3D">
      <w:pPr>
        <w:pStyle w:val="Dateandversiontext"/>
      </w:pPr>
    </w:p>
    <w:p w14:paraId="7B881C70" w14:textId="77777777" w:rsidR="0057472A" w:rsidRDefault="0057472A" w:rsidP="00B05A3D">
      <w:pPr>
        <w:pStyle w:val="BodyText"/>
      </w:pPr>
      <w:bookmarkStart w:id="0" w:name="_Toc462659573"/>
      <w:bookmarkStart w:id="1" w:name="_Toc462754499"/>
    </w:p>
    <w:p w14:paraId="2FB7E7DB" w14:textId="77777777" w:rsidR="003350B6" w:rsidRDefault="003350B6" w:rsidP="00B05A3D">
      <w:pPr>
        <w:pStyle w:val="BodyText"/>
      </w:pPr>
    </w:p>
    <w:p w14:paraId="3D467714" w14:textId="77777777" w:rsidR="003350B6" w:rsidRDefault="003350B6" w:rsidP="00B05A3D">
      <w:pPr>
        <w:pStyle w:val="BodyText"/>
      </w:pPr>
    </w:p>
    <w:p w14:paraId="53530EC9" w14:textId="77777777" w:rsidR="003350B6" w:rsidRDefault="003350B6" w:rsidP="00B05A3D">
      <w:pPr>
        <w:pStyle w:val="BodyText"/>
      </w:pPr>
    </w:p>
    <w:p w14:paraId="346B0AAA" w14:textId="77777777" w:rsidR="003350B6" w:rsidRDefault="003350B6" w:rsidP="00B05A3D">
      <w:pPr>
        <w:pStyle w:val="BodyText"/>
      </w:pPr>
    </w:p>
    <w:p w14:paraId="0984E6D7" w14:textId="77777777" w:rsidR="003350B6" w:rsidRDefault="003350B6" w:rsidP="00B05A3D">
      <w:pPr>
        <w:pStyle w:val="BodyText"/>
      </w:pPr>
    </w:p>
    <w:p w14:paraId="4A9879BB" w14:textId="77777777" w:rsidR="003350B6" w:rsidRDefault="003350B6" w:rsidP="00B05A3D">
      <w:pPr>
        <w:pStyle w:val="BodyText"/>
      </w:pPr>
    </w:p>
    <w:p w14:paraId="5682DA8B" w14:textId="77777777" w:rsidR="003350B6" w:rsidRDefault="003350B6" w:rsidP="00B05A3D">
      <w:pPr>
        <w:pStyle w:val="BodyText"/>
      </w:pPr>
    </w:p>
    <w:p w14:paraId="7506D7A4" w14:textId="77777777" w:rsidR="003350B6" w:rsidRDefault="003350B6" w:rsidP="00B05A3D">
      <w:pPr>
        <w:pStyle w:val="BodyText"/>
      </w:pPr>
    </w:p>
    <w:p w14:paraId="228BA3EB" w14:textId="77777777" w:rsidR="003350B6" w:rsidRDefault="003350B6" w:rsidP="00B05A3D">
      <w:pPr>
        <w:pStyle w:val="BodyText"/>
      </w:pPr>
    </w:p>
    <w:p w14:paraId="621C333A" w14:textId="77777777" w:rsidR="003350B6" w:rsidRDefault="003350B6" w:rsidP="00B05A3D">
      <w:pPr>
        <w:pStyle w:val="BodyText"/>
      </w:pPr>
    </w:p>
    <w:p w14:paraId="6EE6357F" w14:textId="77777777" w:rsidR="003350B6" w:rsidRDefault="003350B6" w:rsidP="00B05A3D">
      <w:pPr>
        <w:pStyle w:val="BodyText"/>
      </w:pPr>
    </w:p>
    <w:p w14:paraId="109F4BE4" w14:textId="77777777" w:rsidR="003350B6" w:rsidRDefault="003350B6" w:rsidP="00B05A3D">
      <w:pPr>
        <w:pStyle w:val="BodyText"/>
        <w:sectPr w:rsidR="003350B6" w:rsidSect="003350B6">
          <w:footerReference w:type="even" r:id="rId11"/>
          <w:footerReference w:type="default" r:id="rId12"/>
          <w:footerReference w:type="first" r:id="rId13"/>
          <w:type w:val="continuous"/>
          <w:pgSz w:w="11906" w:h="16838" w:code="9"/>
          <w:pgMar w:top="3175" w:right="1134" w:bottom="1701" w:left="1134" w:header="57" w:footer="3969" w:gutter="0"/>
          <w:cols w:space="708"/>
          <w:titlePg/>
          <w:docGrid w:linePitch="360"/>
        </w:sectPr>
      </w:pPr>
    </w:p>
    <w:p w14:paraId="4A2F1BF4" w14:textId="1222B911" w:rsidR="003350B6" w:rsidRPr="003350B6" w:rsidRDefault="003350B6" w:rsidP="003350B6">
      <w:pPr>
        <w:rPr>
          <w:rFonts w:asciiTheme="minorHAnsi" w:eastAsia="Times New Roman" w:hAnsiTheme="minorHAnsi"/>
        </w:rPr>
        <w:sectPr w:rsidR="003350B6" w:rsidRPr="003350B6" w:rsidSect="003350B6">
          <w:headerReference w:type="default" r:id="rId14"/>
          <w:type w:val="continuous"/>
          <w:pgSz w:w="11906" w:h="16838" w:code="9"/>
          <w:pgMar w:top="3175" w:right="1134" w:bottom="1701" w:left="1134" w:header="709" w:footer="340" w:gutter="0"/>
          <w:cols w:space="708"/>
          <w:titlePg/>
          <w:docGrid w:linePitch="360"/>
        </w:sectPr>
      </w:pPr>
    </w:p>
    <w:p w14:paraId="0C504D57" w14:textId="77777777" w:rsidR="00F61CAE" w:rsidRDefault="00C13427" w:rsidP="003F5167">
      <w:pPr>
        <w:pStyle w:val="HeadingBold"/>
      </w:pPr>
      <w:bookmarkStart w:id="2" w:name="_Toc187249563"/>
      <w:bookmarkEnd w:id="0"/>
      <w:bookmarkEnd w:id="1"/>
      <w:r w:rsidRPr="005356B3">
        <w:lastRenderedPageBreak/>
        <w:t>Contents</w:t>
      </w:r>
      <w:bookmarkEnd w:id="2"/>
    </w:p>
    <w:p w14:paraId="4F0678E3" w14:textId="77777777" w:rsidR="005356B3" w:rsidRPr="005356B3" w:rsidRDefault="005356B3" w:rsidP="005356B3">
      <w:pPr>
        <w:pStyle w:val="Contents"/>
      </w:pPr>
    </w:p>
    <w:sdt>
      <w:sdtPr>
        <w:id w:val="2140523928"/>
        <w:docPartObj>
          <w:docPartGallery w:val="Table of Contents"/>
          <w:docPartUnique/>
        </w:docPartObj>
      </w:sdtPr>
      <w:sdtEndPr>
        <w:rPr>
          <w:noProof/>
        </w:rPr>
      </w:sdtEndPr>
      <w:sdtContent>
        <w:p w14:paraId="6D51B2B1" w14:textId="5D2B2FA8" w:rsidR="00721234" w:rsidRDefault="009C5606">
          <w:pPr>
            <w:pStyle w:val="TOC1"/>
            <w:rPr>
              <w:rFonts w:eastAsiaTheme="minorEastAsia" w:cstheme="minorBidi"/>
              <w:bCs w:val="0"/>
              <w:noProof/>
              <w:color w:val="auto"/>
              <w:kern w:val="2"/>
              <w:sz w:val="24"/>
              <w:szCs w:val="24"/>
              <w14:ligatures w14:val="standardContextual"/>
            </w:rPr>
          </w:pPr>
          <w:r>
            <w:rPr>
              <w:b/>
            </w:rPr>
            <w:fldChar w:fldCharType="begin"/>
          </w:r>
          <w:r>
            <w:rPr>
              <w:b/>
            </w:rPr>
            <w:instrText xml:space="preserve"> TOC \o "1-3" \h \z \u </w:instrText>
          </w:r>
          <w:r>
            <w:rPr>
              <w:b/>
            </w:rPr>
            <w:fldChar w:fldCharType="separate"/>
          </w:r>
          <w:hyperlink w:anchor="_Toc187249563" w:history="1">
            <w:r w:rsidR="00721234" w:rsidRPr="00372DF7">
              <w:rPr>
                <w:rStyle w:val="Hyperlink"/>
                <w:noProof/>
              </w:rPr>
              <w:t>Contents</w:t>
            </w:r>
            <w:r w:rsidR="00721234">
              <w:rPr>
                <w:noProof/>
                <w:webHidden/>
              </w:rPr>
              <w:tab/>
            </w:r>
            <w:r w:rsidR="00721234">
              <w:rPr>
                <w:noProof/>
                <w:webHidden/>
              </w:rPr>
              <w:fldChar w:fldCharType="begin"/>
            </w:r>
            <w:r w:rsidR="00721234">
              <w:rPr>
                <w:noProof/>
                <w:webHidden/>
              </w:rPr>
              <w:instrText xml:space="preserve"> PAGEREF _Toc187249563 \h </w:instrText>
            </w:r>
            <w:r w:rsidR="00721234">
              <w:rPr>
                <w:noProof/>
                <w:webHidden/>
              </w:rPr>
            </w:r>
            <w:r w:rsidR="00721234">
              <w:rPr>
                <w:noProof/>
                <w:webHidden/>
              </w:rPr>
              <w:fldChar w:fldCharType="separate"/>
            </w:r>
            <w:r w:rsidR="00721234">
              <w:rPr>
                <w:noProof/>
                <w:webHidden/>
              </w:rPr>
              <w:t>2</w:t>
            </w:r>
            <w:r w:rsidR="00721234">
              <w:rPr>
                <w:noProof/>
                <w:webHidden/>
              </w:rPr>
              <w:fldChar w:fldCharType="end"/>
            </w:r>
          </w:hyperlink>
        </w:p>
        <w:p w14:paraId="7241299B" w14:textId="25CF5609" w:rsidR="00721234" w:rsidRDefault="002C10A9">
          <w:pPr>
            <w:pStyle w:val="TOC1"/>
            <w:tabs>
              <w:tab w:val="left" w:pos="482"/>
            </w:tabs>
            <w:rPr>
              <w:rFonts w:eastAsiaTheme="minorEastAsia" w:cstheme="minorBidi"/>
              <w:bCs w:val="0"/>
              <w:noProof/>
              <w:color w:val="auto"/>
              <w:kern w:val="2"/>
              <w:sz w:val="24"/>
              <w:szCs w:val="24"/>
              <w14:ligatures w14:val="standardContextual"/>
            </w:rPr>
          </w:pPr>
          <w:hyperlink w:anchor="_Toc187249564" w:history="1">
            <w:r w:rsidR="00721234" w:rsidRPr="00372DF7">
              <w:rPr>
                <w:rStyle w:val="Hyperlink"/>
                <w:noProof/>
              </w:rPr>
              <w:t>1.</w:t>
            </w:r>
            <w:r w:rsidR="00721234">
              <w:rPr>
                <w:rFonts w:eastAsiaTheme="minorEastAsia" w:cstheme="minorBidi"/>
                <w:bCs w:val="0"/>
                <w:noProof/>
                <w:color w:val="auto"/>
                <w:kern w:val="2"/>
                <w:sz w:val="24"/>
                <w:szCs w:val="24"/>
                <w14:ligatures w14:val="standardContextual"/>
              </w:rPr>
              <w:tab/>
            </w:r>
            <w:r w:rsidR="00721234" w:rsidRPr="00372DF7">
              <w:rPr>
                <w:rStyle w:val="Hyperlink"/>
                <w:noProof/>
              </w:rPr>
              <w:t>Executive summary</w:t>
            </w:r>
            <w:r w:rsidR="00721234">
              <w:rPr>
                <w:noProof/>
                <w:webHidden/>
              </w:rPr>
              <w:tab/>
            </w:r>
            <w:r w:rsidR="00721234">
              <w:rPr>
                <w:noProof/>
                <w:webHidden/>
              </w:rPr>
              <w:fldChar w:fldCharType="begin"/>
            </w:r>
            <w:r w:rsidR="00721234">
              <w:rPr>
                <w:noProof/>
                <w:webHidden/>
              </w:rPr>
              <w:instrText xml:space="preserve"> PAGEREF _Toc187249564 \h </w:instrText>
            </w:r>
            <w:r w:rsidR="00721234">
              <w:rPr>
                <w:noProof/>
                <w:webHidden/>
              </w:rPr>
            </w:r>
            <w:r w:rsidR="00721234">
              <w:rPr>
                <w:noProof/>
                <w:webHidden/>
              </w:rPr>
              <w:fldChar w:fldCharType="separate"/>
            </w:r>
            <w:r w:rsidR="00721234">
              <w:rPr>
                <w:noProof/>
                <w:webHidden/>
              </w:rPr>
              <w:t>3</w:t>
            </w:r>
            <w:r w:rsidR="00721234">
              <w:rPr>
                <w:noProof/>
                <w:webHidden/>
              </w:rPr>
              <w:fldChar w:fldCharType="end"/>
            </w:r>
          </w:hyperlink>
        </w:p>
        <w:p w14:paraId="48E62282" w14:textId="3318891C" w:rsidR="00721234" w:rsidRDefault="002C10A9">
          <w:pPr>
            <w:pStyle w:val="TOC1"/>
            <w:tabs>
              <w:tab w:val="left" w:pos="482"/>
            </w:tabs>
            <w:rPr>
              <w:rFonts w:eastAsiaTheme="minorEastAsia" w:cstheme="minorBidi"/>
              <w:bCs w:val="0"/>
              <w:noProof/>
              <w:color w:val="auto"/>
              <w:kern w:val="2"/>
              <w:sz w:val="24"/>
              <w:szCs w:val="24"/>
              <w14:ligatures w14:val="standardContextual"/>
            </w:rPr>
          </w:pPr>
          <w:hyperlink w:anchor="_Toc187249565" w:history="1">
            <w:r w:rsidR="00721234" w:rsidRPr="00372DF7">
              <w:rPr>
                <w:rStyle w:val="Hyperlink"/>
                <w:noProof/>
              </w:rPr>
              <w:t>2.</w:t>
            </w:r>
            <w:r w:rsidR="00721234">
              <w:rPr>
                <w:rFonts w:eastAsiaTheme="minorEastAsia" w:cstheme="minorBidi"/>
                <w:bCs w:val="0"/>
                <w:noProof/>
                <w:color w:val="auto"/>
                <w:kern w:val="2"/>
                <w:sz w:val="24"/>
                <w:szCs w:val="24"/>
                <w14:ligatures w14:val="standardContextual"/>
              </w:rPr>
              <w:tab/>
            </w:r>
            <w:r w:rsidR="00721234" w:rsidRPr="00372DF7">
              <w:rPr>
                <w:rStyle w:val="Hyperlink"/>
                <w:noProof/>
              </w:rPr>
              <w:t>Background</w:t>
            </w:r>
            <w:r w:rsidR="00721234">
              <w:rPr>
                <w:noProof/>
                <w:webHidden/>
              </w:rPr>
              <w:tab/>
            </w:r>
            <w:r w:rsidR="00721234">
              <w:rPr>
                <w:noProof/>
                <w:webHidden/>
              </w:rPr>
              <w:fldChar w:fldCharType="begin"/>
            </w:r>
            <w:r w:rsidR="00721234">
              <w:rPr>
                <w:noProof/>
                <w:webHidden/>
              </w:rPr>
              <w:instrText xml:space="preserve"> PAGEREF _Toc187249565 \h </w:instrText>
            </w:r>
            <w:r w:rsidR="00721234">
              <w:rPr>
                <w:noProof/>
                <w:webHidden/>
              </w:rPr>
            </w:r>
            <w:r w:rsidR="00721234">
              <w:rPr>
                <w:noProof/>
                <w:webHidden/>
              </w:rPr>
              <w:fldChar w:fldCharType="separate"/>
            </w:r>
            <w:r w:rsidR="00721234">
              <w:rPr>
                <w:noProof/>
                <w:webHidden/>
              </w:rPr>
              <w:t>5</w:t>
            </w:r>
            <w:r w:rsidR="00721234">
              <w:rPr>
                <w:noProof/>
                <w:webHidden/>
              </w:rPr>
              <w:fldChar w:fldCharType="end"/>
            </w:r>
          </w:hyperlink>
        </w:p>
        <w:p w14:paraId="3FC6B12A" w14:textId="5A563C4B" w:rsidR="00721234" w:rsidRDefault="002C10A9">
          <w:pPr>
            <w:pStyle w:val="TOC1"/>
            <w:tabs>
              <w:tab w:val="left" w:pos="482"/>
            </w:tabs>
            <w:rPr>
              <w:rFonts w:eastAsiaTheme="minorEastAsia" w:cstheme="minorBidi"/>
              <w:bCs w:val="0"/>
              <w:noProof/>
              <w:color w:val="auto"/>
              <w:kern w:val="2"/>
              <w:sz w:val="24"/>
              <w:szCs w:val="24"/>
              <w14:ligatures w14:val="standardContextual"/>
            </w:rPr>
          </w:pPr>
          <w:hyperlink w:anchor="_Toc187249566" w:history="1">
            <w:r w:rsidR="00721234" w:rsidRPr="00372DF7">
              <w:rPr>
                <w:rStyle w:val="Hyperlink"/>
                <w:noProof/>
              </w:rPr>
              <w:t>3.</w:t>
            </w:r>
            <w:r w:rsidR="00721234">
              <w:rPr>
                <w:rFonts w:eastAsiaTheme="minorEastAsia" w:cstheme="minorBidi"/>
                <w:bCs w:val="0"/>
                <w:noProof/>
                <w:color w:val="auto"/>
                <w:kern w:val="2"/>
                <w:sz w:val="24"/>
                <w:szCs w:val="24"/>
                <w14:ligatures w14:val="standardContextual"/>
              </w:rPr>
              <w:tab/>
            </w:r>
            <w:r w:rsidR="00721234" w:rsidRPr="00372DF7">
              <w:rPr>
                <w:rStyle w:val="Hyperlink"/>
                <w:noProof/>
              </w:rPr>
              <w:t>Environmental water quality</w:t>
            </w:r>
            <w:r w:rsidR="00721234">
              <w:rPr>
                <w:noProof/>
                <w:webHidden/>
              </w:rPr>
              <w:tab/>
            </w:r>
            <w:r w:rsidR="00721234">
              <w:rPr>
                <w:noProof/>
                <w:webHidden/>
              </w:rPr>
              <w:fldChar w:fldCharType="begin"/>
            </w:r>
            <w:r w:rsidR="00721234">
              <w:rPr>
                <w:noProof/>
                <w:webHidden/>
              </w:rPr>
              <w:instrText xml:space="preserve"> PAGEREF _Toc187249566 \h </w:instrText>
            </w:r>
            <w:r w:rsidR="00721234">
              <w:rPr>
                <w:noProof/>
                <w:webHidden/>
              </w:rPr>
            </w:r>
            <w:r w:rsidR="00721234">
              <w:rPr>
                <w:noProof/>
                <w:webHidden/>
              </w:rPr>
              <w:fldChar w:fldCharType="separate"/>
            </w:r>
            <w:r w:rsidR="00721234">
              <w:rPr>
                <w:noProof/>
                <w:webHidden/>
              </w:rPr>
              <w:t>5</w:t>
            </w:r>
            <w:r w:rsidR="00721234">
              <w:rPr>
                <w:noProof/>
                <w:webHidden/>
              </w:rPr>
              <w:fldChar w:fldCharType="end"/>
            </w:r>
          </w:hyperlink>
        </w:p>
        <w:p w14:paraId="44876D3A" w14:textId="2DEE3551" w:rsidR="00721234" w:rsidRDefault="002C10A9">
          <w:pPr>
            <w:pStyle w:val="TOC1"/>
            <w:tabs>
              <w:tab w:val="left" w:pos="482"/>
            </w:tabs>
            <w:rPr>
              <w:rFonts w:eastAsiaTheme="minorEastAsia" w:cstheme="minorBidi"/>
              <w:bCs w:val="0"/>
              <w:noProof/>
              <w:color w:val="auto"/>
              <w:kern w:val="2"/>
              <w:sz w:val="24"/>
              <w:szCs w:val="24"/>
              <w14:ligatures w14:val="standardContextual"/>
            </w:rPr>
          </w:pPr>
          <w:hyperlink w:anchor="_Toc187249567" w:history="1">
            <w:r w:rsidR="00721234" w:rsidRPr="00372DF7">
              <w:rPr>
                <w:rStyle w:val="Hyperlink"/>
                <w:noProof/>
              </w:rPr>
              <w:t>4.</w:t>
            </w:r>
            <w:r w:rsidR="00721234">
              <w:rPr>
                <w:rFonts w:eastAsiaTheme="minorEastAsia" w:cstheme="minorBidi"/>
                <w:bCs w:val="0"/>
                <w:noProof/>
                <w:color w:val="auto"/>
                <w:kern w:val="2"/>
                <w:sz w:val="24"/>
                <w:szCs w:val="24"/>
                <w14:ligatures w14:val="standardContextual"/>
              </w:rPr>
              <w:tab/>
            </w:r>
            <w:r w:rsidR="00721234" w:rsidRPr="00372DF7">
              <w:rPr>
                <w:rStyle w:val="Hyperlink"/>
                <w:noProof/>
              </w:rPr>
              <w:t>Catchment and partnership working</w:t>
            </w:r>
            <w:r w:rsidR="00721234">
              <w:rPr>
                <w:noProof/>
                <w:webHidden/>
              </w:rPr>
              <w:tab/>
            </w:r>
            <w:r w:rsidR="00721234">
              <w:rPr>
                <w:noProof/>
                <w:webHidden/>
              </w:rPr>
              <w:fldChar w:fldCharType="begin"/>
            </w:r>
            <w:r w:rsidR="00721234">
              <w:rPr>
                <w:noProof/>
                <w:webHidden/>
              </w:rPr>
              <w:instrText xml:space="preserve"> PAGEREF _Toc187249567 \h </w:instrText>
            </w:r>
            <w:r w:rsidR="00721234">
              <w:rPr>
                <w:noProof/>
                <w:webHidden/>
              </w:rPr>
            </w:r>
            <w:r w:rsidR="00721234">
              <w:rPr>
                <w:noProof/>
                <w:webHidden/>
              </w:rPr>
              <w:fldChar w:fldCharType="separate"/>
            </w:r>
            <w:r w:rsidR="00721234">
              <w:rPr>
                <w:noProof/>
                <w:webHidden/>
              </w:rPr>
              <w:t>6</w:t>
            </w:r>
            <w:r w:rsidR="00721234">
              <w:rPr>
                <w:noProof/>
                <w:webHidden/>
              </w:rPr>
              <w:fldChar w:fldCharType="end"/>
            </w:r>
          </w:hyperlink>
        </w:p>
        <w:p w14:paraId="1A76232A" w14:textId="53F3C600" w:rsidR="00721234" w:rsidRDefault="002C10A9">
          <w:pPr>
            <w:pStyle w:val="TOC1"/>
            <w:tabs>
              <w:tab w:val="left" w:pos="482"/>
            </w:tabs>
            <w:rPr>
              <w:rFonts w:eastAsiaTheme="minorEastAsia" w:cstheme="minorBidi"/>
              <w:bCs w:val="0"/>
              <w:noProof/>
              <w:color w:val="auto"/>
              <w:kern w:val="2"/>
              <w:sz w:val="24"/>
              <w:szCs w:val="24"/>
              <w14:ligatures w14:val="standardContextual"/>
            </w:rPr>
          </w:pPr>
          <w:hyperlink w:anchor="_Toc187249568" w:history="1">
            <w:r w:rsidR="00721234" w:rsidRPr="00372DF7">
              <w:rPr>
                <w:rStyle w:val="Hyperlink"/>
                <w:noProof/>
              </w:rPr>
              <w:t>5.</w:t>
            </w:r>
            <w:r w:rsidR="00721234">
              <w:rPr>
                <w:rFonts w:eastAsiaTheme="minorEastAsia" w:cstheme="minorBidi"/>
                <w:bCs w:val="0"/>
                <w:noProof/>
                <w:color w:val="auto"/>
                <w:kern w:val="2"/>
                <w:sz w:val="24"/>
                <w:szCs w:val="24"/>
                <w14:ligatures w14:val="standardContextual"/>
              </w:rPr>
              <w:tab/>
            </w:r>
            <w:r w:rsidR="00721234" w:rsidRPr="00372DF7">
              <w:rPr>
                <w:rStyle w:val="Hyperlink"/>
                <w:noProof/>
              </w:rPr>
              <w:t>Pollution incidents</w:t>
            </w:r>
            <w:r w:rsidR="00721234">
              <w:rPr>
                <w:noProof/>
                <w:webHidden/>
              </w:rPr>
              <w:tab/>
            </w:r>
            <w:r w:rsidR="00721234">
              <w:rPr>
                <w:noProof/>
                <w:webHidden/>
              </w:rPr>
              <w:fldChar w:fldCharType="begin"/>
            </w:r>
            <w:r w:rsidR="00721234">
              <w:rPr>
                <w:noProof/>
                <w:webHidden/>
              </w:rPr>
              <w:instrText xml:space="preserve"> PAGEREF _Toc187249568 \h </w:instrText>
            </w:r>
            <w:r w:rsidR="00721234">
              <w:rPr>
                <w:noProof/>
                <w:webHidden/>
              </w:rPr>
            </w:r>
            <w:r w:rsidR="00721234">
              <w:rPr>
                <w:noProof/>
                <w:webHidden/>
              </w:rPr>
              <w:fldChar w:fldCharType="separate"/>
            </w:r>
            <w:r w:rsidR="00721234">
              <w:rPr>
                <w:noProof/>
                <w:webHidden/>
              </w:rPr>
              <w:t>6</w:t>
            </w:r>
            <w:r w:rsidR="00721234">
              <w:rPr>
                <w:noProof/>
                <w:webHidden/>
              </w:rPr>
              <w:fldChar w:fldCharType="end"/>
            </w:r>
          </w:hyperlink>
        </w:p>
        <w:p w14:paraId="412FB49C" w14:textId="4D9BBB4F" w:rsidR="00721234" w:rsidRDefault="002C10A9">
          <w:pPr>
            <w:pStyle w:val="TOC1"/>
            <w:tabs>
              <w:tab w:val="left" w:pos="482"/>
            </w:tabs>
            <w:rPr>
              <w:rFonts w:eastAsiaTheme="minorEastAsia" w:cstheme="minorBidi"/>
              <w:bCs w:val="0"/>
              <w:noProof/>
              <w:color w:val="auto"/>
              <w:kern w:val="2"/>
              <w:sz w:val="24"/>
              <w:szCs w:val="24"/>
              <w14:ligatures w14:val="standardContextual"/>
            </w:rPr>
          </w:pPr>
          <w:hyperlink w:anchor="_Toc187249569" w:history="1">
            <w:r w:rsidR="00721234" w:rsidRPr="00372DF7">
              <w:rPr>
                <w:rStyle w:val="Hyperlink"/>
                <w:noProof/>
              </w:rPr>
              <w:t>6.</w:t>
            </w:r>
            <w:r w:rsidR="00721234">
              <w:rPr>
                <w:rFonts w:eastAsiaTheme="minorEastAsia" w:cstheme="minorBidi"/>
                <w:bCs w:val="0"/>
                <w:noProof/>
                <w:color w:val="auto"/>
                <w:kern w:val="2"/>
                <w:sz w:val="24"/>
                <w:szCs w:val="24"/>
                <w14:ligatures w14:val="standardContextual"/>
              </w:rPr>
              <w:tab/>
            </w:r>
            <w:r w:rsidR="00721234" w:rsidRPr="00372DF7">
              <w:rPr>
                <w:rStyle w:val="Hyperlink"/>
                <w:noProof/>
              </w:rPr>
              <w:t>Core processes</w:t>
            </w:r>
            <w:r w:rsidR="00721234">
              <w:rPr>
                <w:noProof/>
                <w:webHidden/>
              </w:rPr>
              <w:tab/>
            </w:r>
            <w:r w:rsidR="00721234">
              <w:rPr>
                <w:noProof/>
                <w:webHidden/>
              </w:rPr>
              <w:fldChar w:fldCharType="begin"/>
            </w:r>
            <w:r w:rsidR="00721234">
              <w:rPr>
                <w:noProof/>
                <w:webHidden/>
              </w:rPr>
              <w:instrText xml:space="preserve"> PAGEREF _Toc187249569 \h </w:instrText>
            </w:r>
            <w:r w:rsidR="00721234">
              <w:rPr>
                <w:noProof/>
                <w:webHidden/>
              </w:rPr>
            </w:r>
            <w:r w:rsidR="00721234">
              <w:rPr>
                <w:noProof/>
                <w:webHidden/>
              </w:rPr>
              <w:fldChar w:fldCharType="separate"/>
            </w:r>
            <w:r w:rsidR="00721234">
              <w:rPr>
                <w:noProof/>
                <w:webHidden/>
              </w:rPr>
              <w:t>7</w:t>
            </w:r>
            <w:r w:rsidR="00721234">
              <w:rPr>
                <w:noProof/>
                <w:webHidden/>
              </w:rPr>
              <w:fldChar w:fldCharType="end"/>
            </w:r>
          </w:hyperlink>
        </w:p>
        <w:p w14:paraId="5E30A0E8" w14:textId="5F4CB932" w:rsidR="00721234" w:rsidRDefault="002C10A9">
          <w:pPr>
            <w:pStyle w:val="TOC1"/>
            <w:tabs>
              <w:tab w:val="left" w:pos="482"/>
            </w:tabs>
            <w:rPr>
              <w:rFonts w:eastAsiaTheme="minorEastAsia" w:cstheme="minorBidi"/>
              <w:bCs w:val="0"/>
              <w:noProof/>
              <w:color w:val="auto"/>
              <w:kern w:val="2"/>
              <w:sz w:val="24"/>
              <w:szCs w:val="24"/>
              <w14:ligatures w14:val="standardContextual"/>
            </w:rPr>
          </w:pPr>
          <w:hyperlink w:anchor="_Toc187249570" w:history="1">
            <w:r w:rsidR="00721234" w:rsidRPr="00372DF7">
              <w:rPr>
                <w:rStyle w:val="Hyperlink"/>
                <w:noProof/>
              </w:rPr>
              <w:t>7.</w:t>
            </w:r>
            <w:r w:rsidR="00721234">
              <w:rPr>
                <w:rFonts w:eastAsiaTheme="minorEastAsia" w:cstheme="minorBidi"/>
                <w:bCs w:val="0"/>
                <w:noProof/>
                <w:color w:val="auto"/>
                <w:kern w:val="2"/>
                <w:sz w:val="24"/>
                <w:szCs w:val="24"/>
                <w14:ligatures w14:val="standardContextual"/>
              </w:rPr>
              <w:tab/>
            </w:r>
            <w:r w:rsidR="00721234" w:rsidRPr="00372DF7">
              <w:rPr>
                <w:rStyle w:val="Hyperlink"/>
                <w:noProof/>
              </w:rPr>
              <w:t>Transparency</w:t>
            </w:r>
            <w:r w:rsidR="00721234">
              <w:rPr>
                <w:noProof/>
                <w:webHidden/>
              </w:rPr>
              <w:tab/>
            </w:r>
            <w:r w:rsidR="00721234">
              <w:rPr>
                <w:noProof/>
                <w:webHidden/>
              </w:rPr>
              <w:fldChar w:fldCharType="begin"/>
            </w:r>
            <w:r w:rsidR="00721234">
              <w:rPr>
                <w:noProof/>
                <w:webHidden/>
              </w:rPr>
              <w:instrText xml:space="preserve"> PAGEREF _Toc187249570 \h </w:instrText>
            </w:r>
            <w:r w:rsidR="00721234">
              <w:rPr>
                <w:noProof/>
                <w:webHidden/>
              </w:rPr>
            </w:r>
            <w:r w:rsidR="00721234">
              <w:rPr>
                <w:noProof/>
                <w:webHidden/>
              </w:rPr>
              <w:fldChar w:fldCharType="separate"/>
            </w:r>
            <w:r w:rsidR="00721234">
              <w:rPr>
                <w:noProof/>
                <w:webHidden/>
              </w:rPr>
              <w:t>8</w:t>
            </w:r>
            <w:r w:rsidR="00721234">
              <w:rPr>
                <w:noProof/>
                <w:webHidden/>
              </w:rPr>
              <w:fldChar w:fldCharType="end"/>
            </w:r>
          </w:hyperlink>
        </w:p>
        <w:p w14:paraId="0A99D520" w14:textId="622E0575" w:rsidR="00721234" w:rsidRDefault="002C10A9">
          <w:pPr>
            <w:pStyle w:val="TOC1"/>
            <w:tabs>
              <w:tab w:val="left" w:pos="482"/>
            </w:tabs>
            <w:rPr>
              <w:rFonts w:eastAsiaTheme="minorEastAsia" w:cstheme="minorBidi"/>
              <w:bCs w:val="0"/>
              <w:noProof/>
              <w:color w:val="auto"/>
              <w:kern w:val="2"/>
              <w:sz w:val="24"/>
              <w:szCs w:val="24"/>
              <w14:ligatures w14:val="standardContextual"/>
            </w:rPr>
          </w:pPr>
          <w:hyperlink w:anchor="_Toc187249571" w:history="1">
            <w:r w:rsidR="00721234" w:rsidRPr="00372DF7">
              <w:rPr>
                <w:rStyle w:val="Hyperlink"/>
                <w:noProof/>
              </w:rPr>
              <w:t>8.</w:t>
            </w:r>
            <w:r w:rsidR="00721234">
              <w:rPr>
                <w:rFonts w:eastAsiaTheme="minorEastAsia" w:cstheme="minorBidi"/>
                <w:bCs w:val="0"/>
                <w:noProof/>
                <w:color w:val="auto"/>
                <w:kern w:val="2"/>
                <w:sz w:val="24"/>
                <w:szCs w:val="24"/>
                <w14:ligatures w14:val="standardContextual"/>
              </w:rPr>
              <w:tab/>
            </w:r>
            <w:r w:rsidR="00721234" w:rsidRPr="00372DF7">
              <w:rPr>
                <w:rStyle w:val="Hyperlink"/>
                <w:noProof/>
              </w:rPr>
              <w:t>Carbon/net zero</w:t>
            </w:r>
            <w:r w:rsidR="00721234">
              <w:rPr>
                <w:noProof/>
                <w:webHidden/>
              </w:rPr>
              <w:tab/>
            </w:r>
            <w:r w:rsidR="00721234">
              <w:rPr>
                <w:noProof/>
                <w:webHidden/>
              </w:rPr>
              <w:fldChar w:fldCharType="begin"/>
            </w:r>
            <w:r w:rsidR="00721234">
              <w:rPr>
                <w:noProof/>
                <w:webHidden/>
              </w:rPr>
              <w:instrText xml:space="preserve"> PAGEREF _Toc187249571 \h </w:instrText>
            </w:r>
            <w:r w:rsidR="00721234">
              <w:rPr>
                <w:noProof/>
                <w:webHidden/>
              </w:rPr>
            </w:r>
            <w:r w:rsidR="00721234">
              <w:rPr>
                <w:noProof/>
                <w:webHidden/>
              </w:rPr>
              <w:fldChar w:fldCharType="separate"/>
            </w:r>
            <w:r w:rsidR="00721234">
              <w:rPr>
                <w:noProof/>
                <w:webHidden/>
              </w:rPr>
              <w:t>8</w:t>
            </w:r>
            <w:r w:rsidR="00721234">
              <w:rPr>
                <w:noProof/>
                <w:webHidden/>
              </w:rPr>
              <w:fldChar w:fldCharType="end"/>
            </w:r>
          </w:hyperlink>
        </w:p>
        <w:p w14:paraId="4A91F53B" w14:textId="6943D4E9" w:rsidR="00721234" w:rsidRDefault="002C10A9">
          <w:pPr>
            <w:pStyle w:val="TOC1"/>
            <w:tabs>
              <w:tab w:val="left" w:pos="482"/>
            </w:tabs>
            <w:rPr>
              <w:rFonts w:eastAsiaTheme="minorEastAsia" w:cstheme="minorBidi"/>
              <w:bCs w:val="0"/>
              <w:noProof/>
              <w:color w:val="auto"/>
              <w:kern w:val="2"/>
              <w:sz w:val="24"/>
              <w:szCs w:val="24"/>
              <w14:ligatures w14:val="standardContextual"/>
            </w:rPr>
          </w:pPr>
          <w:hyperlink w:anchor="_Toc187249572" w:history="1">
            <w:r w:rsidR="00721234" w:rsidRPr="00372DF7">
              <w:rPr>
                <w:rStyle w:val="Hyperlink"/>
                <w:noProof/>
              </w:rPr>
              <w:t>9.</w:t>
            </w:r>
            <w:r w:rsidR="00721234">
              <w:rPr>
                <w:rFonts w:eastAsiaTheme="minorEastAsia" w:cstheme="minorBidi"/>
                <w:bCs w:val="0"/>
                <w:noProof/>
                <w:color w:val="auto"/>
                <w:kern w:val="2"/>
                <w:sz w:val="24"/>
                <w:szCs w:val="24"/>
                <w14:ligatures w14:val="standardContextual"/>
              </w:rPr>
              <w:tab/>
            </w:r>
            <w:r w:rsidR="00721234" w:rsidRPr="00372DF7">
              <w:rPr>
                <w:rStyle w:val="Hyperlink"/>
                <w:noProof/>
              </w:rPr>
              <w:t>Procurement</w:t>
            </w:r>
            <w:r w:rsidR="00721234">
              <w:rPr>
                <w:noProof/>
                <w:webHidden/>
              </w:rPr>
              <w:tab/>
            </w:r>
            <w:r w:rsidR="00721234">
              <w:rPr>
                <w:noProof/>
                <w:webHidden/>
              </w:rPr>
              <w:fldChar w:fldCharType="begin"/>
            </w:r>
            <w:r w:rsidR="00721234">
              <w:rPr>
                <w:noProof/>
                <w:webHidden/>
              </w:rPr>
              <w:instrText xml:space="preserve"> PAGEREF _Toc187249572 \h </w:instrText>
            </w:r>
            <w:r w:rsidR="00721234">
              <w:rPr>
                <w:noProof/>
                <w:webHidden/>
              </w:rPr>
            </w:r>
            <w:r w:rsidR="00721234">
              <w:rPr>
                <w:noProof/>
                <w:webHidden/>
              </w:rPr>
              <w:fldChar w:fldCharType="separate"/>
            </w:r>
            <w:r w:rsidR="00721234">
              <w:rPr>
                <w:noProof/>
                <w:webHidden/>
              </w:rPr>
              <w:t>9</w:t>
            </w:r>
            <w:r w:rsidR="00721234">
              <w:rPr>
                <w:noProof/>
                <w:webHidden/>
              </w:rPr>
              <w:fldChar w:fldCharType="end"/>
            </w:r>
          </w:hyperlink>
        </w:p>
        <w:p w14:paraId="5C79B2A5" w14:textId="43F59CE4" w:rsidR="00721234" w:rsidRDefault="002C10A9">
          <w:pPr>
            <w:pStyle w:val="TOC1"/>
            <w:rPr>
              <w:rFonts w:eastAsiaTheme="minorEastAsia" w:cstheme="minorBidi"/>
              <w:bCs w:val="0"/>
              <w:noProof/>
              <w:color w:val="auto"/>
              <w:kern w:val="2"/>
              <w:sz w:val="24"/>
              <w:szCs w:val="24"/>
              <w14:ligatures w14:val="standardContextual"/>
            </w:rPr>
          </w:pPr>
          <w:hyperlink w:anchor="_Toc187249573" w:history="1">
            <w:r w:rsidR="00721234" w:rsidRPr="00372DF7">
              <w:rPr>
                <w:rStyle w:val="Hyperlink"/>
                <w:noProof/>
              </w:rPr>
              <w:t>Annex: Group membership (as of Dec 2024)</w:t>
            </w:r>
            <w:r w:rsidR="00721234">
              <w:rPr>
                <w:noProof/>
                <w:webHidden/>
              </w:rPr>
              <w:tab/>
            </w:r>
            <w:r w:rsidR="00721234">
              <w:rPr>
                <w:noProof/>
                <w:webHidden/>
              </w:rPr>
              <w:fldChar w:fldCharType="begin"/>
            </w:r>
            <w:r w:rsidR="00721234">
              <w:rPr>
                <w:noProof/>
                <w:webHidden/>
              </w:rPr>
              <w:instrText xml:space="preserve"> PAGEREF _Toc187249573 \h </w:instrText>
            </w:r>
            <w:r w:rsidR="00721234">
              <w:rPr>
                <w:noProof/>
                <w:webHidden/>
              </w:rPr>
            </w:r>
            <w:r w:rsidR="00721234">
              <w:rPr>
                <w:noProof/>
                <w:webHidden/>
              </w:rPr>
              <w:fldChar w:fldCharType="separate"/>
            </w:r>
            <w:r w:rsidR="00721234">
              <w:rPr>
                <w:noProof/>
                <w:webHidden/>
              </w:rPr>
              <w:t>10</w:t>
            </w:r>
            <w:r w:rsidR="00721234">
              <w:rPr>
                <w:noProof/>
                <w:webHidden/>
              </w:rPr>
              <w:fldChar w:fldCharType="end"/>
            </w:r>
          </w:hyperlink>
        </w:p>
        <w:p w14:paraId="67C6BBC6" w14:textId="43C75874" w:rsidR="00C13427" w:rsidRPr="007D3BD8" w:rsidRDefault="009C5606" w:rsidP="009C5606">
          <w:pPr>
            <w:pStyle w:val="TOC1"/>
          </w:pPr>
          <w:r>
            <w:rPr>
              <w:b/>
            </w:rPr>
            <w:fldChar w:fldCharType="end"/>
          </w:r>
        </w:p>
      </w:sdtContent>
    </w:sdt>
    <w:p w14:paraId="5B19198D" w14:textId="47C137D9" w:rsidR="00F74340" w:rsidRDefault="00F74340">
      <w:pPr>
        <w:rPr>
          <w:rFonts w:ascii="Avenir Next LT Pro" w:eastAsia="Times New Roman" w:hAnsi="Avenir Next LT Pro"/>
          <w:b/>
          <w:bCs/>
          <w:sz w:val="20"/>
        </w:rPr>
      </w:pPr>
      <w:bookmarkStart w:id="3" w:name="_Toc466540056"/>
      <w:r>
        <w:rPr>
          <w:b/>
          <w:bCs/>
        </w:rPr>
        <w:br w:type="page"/>
      </w:r>
    </w:p>
    <w:p w14:paraId="5A8849EF" w14:textId="77777777" w:rsidR="004034CD" w:rsidRPr="004034CD" w:rsidRDefault="004034CD" w:rsidP="004034CD">
      <w:pPr>
        <w:pStyle w:val="BodyText"/>
        <w:rPr>
          <w:b/>
          <w:bCs/>
        </w:rPr>
      </w:pPr>
    </w:p>
    <w:p w14:paraId="1DD48646" w14:textId="6CF610F5" w:rsidR="004034CD" w:rsidRDefault="004034CD" w:rsidP="004034CD">
      <w:pPr>
        <w:pStyle w:val="Heading1"/>
      </w:pPr>
      <w:bookmarkStart w:id="4" w:name="_Toc187249564"/>
      <w:r w:rsidRPr="004034CD">
        <w:t>Executive summary</w:t>
      </w:r>
      <w:bookmarkEnd w:id="4"/>
    </w:p>
    <w:p w14:paraId="7D2FFD79" w14:textId="42690127" w:rsidR="004034CD" w:rsidRDefault="004034CD" w:rsidP="004034CD">
      <w:pPr>
        <w:pStyle w:val="BodyText"/>
      </w:pPr>
      <w:r w:rsidRPr="004034CD">
        <w:t xml:space="preserve">Southern Water have </w:t>
      </w:r>
      <w:r w:rsidR="006F7B78">
        <w:t xml:space="preserve">had </w:t>
      </w:r>
      <w:r w:rsidRPr="004034CD">
        <w:t>a poor environmental reputation,</w:t>
      </w:r>
      <w:r w:rsidR="001F2934">
        <w:t xml:space="preserve"> with a low point </w:t>
      </w:r>
      <w:r w:rsidR="00125180">
        <w:t>of</w:t>
      </w:r>
      <w:r w:rsidRPr="004034CD">
        <w:t xml:space="preserve"> unacceptable historic practices which led </w:t>
      </w:r>
      <w:r w:rsidR="003832ED">
        <w:t xml:space="preserve">a few years ago </w:t>
      </w:r>
      <w:r w:rsidRPr="004034CD">
        <w:t xml:space="preserve">to the largest environmental penalty in UK history. </w:t>
      </w:r>
      <w:r w:rsidR="000634C4">
        <w:t>In recent years they have had only</w:t>
      </w:r>
      <w:r w:rsidRPr="004034CD">
        <w:t xml:space="preserve"> </w:t>
      </w:r>
      <w:r w:rsidR="000634C4">
        <w:t xml:space="preserve">1 </w:t>
      </w:r>
      <w:proofErr w:type="gramStart"/>
      <w:r w:rsidR="000634C4">
        <w:t xml:space="preserve">or  </w:t>
      </w:r>
      <w:r w:rsidR="00E24269">
        <w:t>2</w:t>
      </w:r>
      <w:proofErr w:type="gramEnd"/>
      <w:r w:rsidRPr="004034CD">
        <w:t>-star Environmental Performance Assessment (EPA) rating</w:t>
      </w:r>
      <w:r w:rsidR="000634C4">
        <w:t>s</w:t>
      </w:r>
      <w:r w:rsidRPr="004034CD">
        <w:t xml:space="preserve"> from the Environment Agency.</w:t>
      </w:r>
      <w:r w:rsidR="00422D73">
        <w:t xml:space="preserve"> For much of 2024 progress </w:t>
      </w:r>
      <w:r w:rsidR="00EE2629">
        <w:t xml:space="preserve">in terms of regulatory compliance </w:t>
      </w:r>
      <w:r w:rsidR="00422D73">
        <w:t xml:space="preserve">had stalled </w:t>
      </w:r>
      <w:r w:rsidR="001B661D">
        <w:t>and, in some areas,</w:t>
      </w:r>
      <w:r w:rsidR="00422D73">
        <w:t xml:space="preserve"> slipped.</w:t>
      </w:r>
    </w:p>
    <w:p w14:paraId="638D1429" w14:textId="77777777" w:rsidR="004034CD" w:rsidRPr="004034CD" w:rsidRDefault="004034CD" w:rsidP="004034CD">
      <w:pPr>
        <w:pStyle w:val="BodyText"/>
      </w:pPr>
    </w:p>
    <w:p w14:paraId="3DA72FBA" w14:textId="04D705AD" w:rsidR="005A7C50" w:rsidRDefault="004034CD" w:rsidP="004034CD">
      <w:pPr>
        <w:pStyle w:val="BodyText"/>
      </w:pPr>
      <w:r w:rsidRPr="004034CD">
        <w:t xml:space="preserve">This masks </w:t>
      </w:r>
      <w:r w:rsidR="00422D73">
        <w:t xml:space="preserve">some </w:t>
      </w:r>
      <w:r w:rsidRPr="004034CD">
        <w:t>positive environmental actions</w:t>
      </w:r>
      <w:r w:rsidR="00155F4E">
        <w:t xml:space="preserve">, and on balance we judge that </w:t>
      </w:r>
      <w:r w:rsidR="00422D73">
        <w:t xml:space="preserve">with some blips </w:t>
      </w:r>
      <w:r w:rsidR="00155F4E">
        <w:t xml:space="preserve">the overall direction is </w:t>
      </w:r>
      <w:r w:rsidR="00422D73">
        <w:t>probably now (end 2024</w:t>
      </w:r>
      <w:proofErr w:type="gramStart"/>
      <w:r w:rsidR="00422D73">
        <w:t xml:space="preserve">) </w:t>
      </w:r>
      <w:r w:rsidR="00155F4E">
        <w:t xml:space="preserve"> </w:t>
      </w:r>
      <w:r w:rsidR="00203F4F">
        <w:t>towards</w:t>
      </w:r>
      <w:proofErr w:type="gramEnd"/>
      <w:r w:rsidR="00203F4F">
        <w:t xml:space="preserve"> improvement</w:t>
      </w:r>
      <w:r w:rsidRPr="004034CD">
        <w:t>. We are strongly supportive of Southern Water’s surface water pilots. We commend Southern Water for their</w:t>
      </w:r>
      <w:r w:rsidR="00422D73">
        <w:t xml:space="preserve"> early</w:t>
      </w:r>
      <w:r w:rsidR="00D74192">
        <w:t xml:space="preserve"> </w:t>
      </w:r>
      <w:r w:rsidRPr="004034CD">
        <w:t xml:space="preserve">transparency over </w:t>
      </w:r>
      <w:r w:rsidR="00D74192">
        <w:t>publish</w:t>
      </w:r>
      <w:r w:rsidR="00422D73">
        <w:t>ing</w:t>
      </w:r>
      <w:r w:rsidR="00D74192">
        <w:t xml:space="preserve"> </w:t>
      </w:r>
      <w:r w:rsidRPr="004034CD">
        <w:t xml:space="preserve">data on sewer overflows on the coast and </w:t>
      </w:r>
      <w:r w:rsidR="003832ED">
        <w:t>its extension</w:t>
      </w:r>
      <w:r w:rsidRPr="004034CD">
        <w:t xml:space="preserve"> to inland waterways</w:t>
      </w:r>
      <w:r w:rsidR="00422D73">
        <w:t xml:space="preserve"> (all companies </w:t>
      </w:r>
      <w:proofErr w:type="gramStart"/>
      <w:r w:rsidR="00422D73">
        <w:t>have to</w:t>
      </w:r>
      <w:proofErr w:type="gramEnd"/>
      <w:r w:rsidR="00422D73">
        <w:t xml:space="preserve"> do this from 2025), and their voluntarily releasing historic data</w:t>
      </w:r>
      <w:r w:rsidR="003832ED">
        <w:t xml:space="preserve"> – while we want to work further with </w:t>
      </w:r>
      <w:r w:rsidR="005D7C2E">
        <w:t>them</w:t>
      </w:r>
      <w:r w:rsidR="003832ED">
        <w:t xml:space="preserve"> on facilitating public interpretation of this data</w:t>
      </w:r>
      <w:r w:rsidR="00125180">
        <w:t>.</w:t>
      </w:r>
      <w:r w:rsidR="003832ED">
        <w:t xml:space="preserve"> </w:t>
      </w:r>
      <w:r w:rsidR="00125180">
        <w:t>I</w:t>
      </w:r>
      <w:r w:rsidR="009328B0">
        <w:t>n response to justified criticism the company have also sought to</w:t>
      </w:r>
      <w:r w:rsidR="00FB2AA4">
        <w:t xml:space="preserve"> make further changes</w:t>
      </w:r>
      <w:r w:rsidR="009328B0">
        <w:t xml:space="preserve"> – e.g. by enabling download of large </w:t>
      </w:r>
      <w:r w:rsidR="005A7C50">
        <w:t>quantities of reports/data points.</w:t>
      </w:r>
    </w:p>
    <w:p w14:paraId="4B058DF8" w14:textId="77777777" w:rsidR="00CE75E2" w:rsidRDefault="00CE75E2" w:rsidP="004034CD">
      <w:pPr>
        <w:pStyle w:val="BodyText"/>
      </w:pPr>
    </w:p>
    <w:p w14:paraId="1B149C14" w14:textId="48017B84" w:rsidR="00CE75E2" w:rsidRDefault="00CE75E2" w:rsidP="004034CD">
      <w:pPr>
        <w:pStyle w:val="BodyText"/>
      </w:pPr>
      <w:r>
        <w:t>We support Southern Water’s desire to maximise the use of nature-based solutions</w:t>
      </w:r>
      <w:r w:rsidR="006E3578">
        <w:t xml:space="preserve"> and sustainable drainage </w:t>
      </w:r>
      <w:r w:rsidR="00235D6B">
        <w:t>where appropriate</w:t>
      </w:r>
      <w:r>
        <w:t>.</w:t>
      </w:r>
    </w:p>
    <w:p w14:paraId="67D6B209" w14:textId="77777777" w:rsidR="005A7C50" w:rsidRDefault="005A7C50" w:rsidP="004034CD">
      <w:pPr>
        <w:pStyle w:val="BodyText"/>
      </w:pPr>
    </w:p>
    <w:p w14:paraId="27B1CBAA" w14:textId="3706F386" w:rsidR="005A7C50" w:rsidRDefault="004034CD" w:rsidP="004034CD">
      <w:pPr>
        <w:pStyle w:val="BodyText"/>
      </w:pPr>
      <w:r w:rsidRPr="004034CD">
        <w:t xml:space="preserve">There is good </w:t>
      </w:r>
      <w:r w:rsidR="007C4D00">
        <w:t xml:space="preserve">(by the standards of the industry) </w:t>
      </w:r>
      <w:r w:rsidRPr="004034CD">
        <w:t xml:space="preserve">monitoring of carbon emissions – and though </w:t>
      </w:r>
      <w:r w:rsidR="00C707B2">
        <w:t>emission reductions</w:t>
      </w:r>
      <w:r w:rsidR="00C707B2" w:rsidRPr="004034CD">
        <w:t xml:space="preserve"> </w:t>
      </w:r>
      <w:r w:rsidRPr="004034CD">
        <w:t xml:space="preserve">may be thrown off course </w:t>
      </w:r>
      <w:r w:rsidR="00C707B2">
        <w:t xml:space="preserve">in the short-medium term </w:t>
      </w:r>
      <w:r w:rsidRPr="004034CD">
        <w:t>by some large construction projects</w:t>
      </w:r>
      <w:r w:rsidR="004C00BB">
        <w:t xml:space="preserve"> </w:t>
      </w:r>
      <w:r w:rsidR="00D71D6D">
        <w:t xml:space="preserve">this may be offset </w:t>
      </w:r>
      <w:proofErr w:type="gramStart"/>
      <w:r w:rsidR="00D71D6D">
        <w:t>by the use of</w:t>
      </w:r>
      <w:proofErr w:type="gramEnd"/>
      <w:r w:rsidR="00D71D6D">
        <w:t xml:space="preserve"> SUDs in place of concrete storm </w:t>
      </w:r>
      <w:r w:rsidR="001B661D">
        <w:t>tanks,</w:t>
      </w:r>
      <w:r w:rsidR="00D71D6D">
        <w:t xml:space="preserve"> and </w:t>
      </w:r>
      <w:r w:rsidR="004C00BB">
        <w:t>we hope that some at least of the nature-based solutions may provide Carbon sequestration</w:t>
      </w:r>
      <w:r w:rsidRPr="004034CD">
        <w:t xml:space="preserve">.  </w:t>
      </w:r>
    </w:p>
    <w:p w14:paraId="067B52C9" w14:textId="77777777" w:rsidR="008171EB" w:rsidRDefault="008171EB" w:rsidP="004034CD">
      <w:pPr>
        <w:pStyle w:val="BodyText"/>
      </w:pPr>
    </w:p>
    <w:p w14:paraId="23FE33E8" w14:textId="79786151" w:rsidR="008171EB" w:rsidRDefault="008171EB" w:rsidP="004034CD">
      <w:pPr>
        <w:pStyle w:val="BodyText"/>
      </w:pPr>
      <w:r>
        <w:t xml:space="preserve">A highlight of the last </w:t>
      </w:r>
      <w:r w:rsidR="003A691E">
        <w:t>15 months has been the move to co-invent, at least at high level, the compan</w:t>
      </w:r>
      <w:r w:rsidR="00155F4E">
        <w:t>y’</w:t>
      </w:r>
      <w:r w:rsidR="003A691E">
        <w:t>s forthcoming environment strategy with the ICEG. This</w:t>
      </w:r>
      <w:r w:rsidR="00422D73">
        <w:t xml:space="preserve"> is still at a relatively early </w:t>
      </w:r>
      <w:r w:rsidR="001B661D">
        <w:t>stage but</w:t>
      </w:r>
      <w:r w:rsidR="003A691E">
        <w:t xml:space="preserve"> c</w:t>
      </w:r>
      <w:r w:rsidR="00422D73">
        <w:t xml:space="preserve">ould if carried through </w:t>
      </w:r>
      <w:r w:rsidR="003A691E">
        <w:t xml:space="preserve"> </w:t>
      </w:r>
      <w:r w:rsidR="00422D73">
        <w:t xml:space="preserve"> become</w:t>
      </w:r>
      <w:r w:rsidR="003A691E">
        <w:t xml:space="preserve"> something of an exemplar for the wider </w:t>
      </w:r>
      <w:proofErr w:type="gramStart"/>
      <w:r w:rsidR="003A691E">
        <w:t>industry .</w:t>
      </w:r>
      <w:proofErr w:type="gramEnd"/>
    </w:p>
    <w:p w14:paraId="0606C594" w14:textId="77777777" w:rsidR="003A691E" w:rsidRDefault="003A691E" w:rsidP="004034CD">
      <w:pPr>
        <w:pStyle w:val="BodyText"/>
      </w:pPr>
    </w:p>
    <w:p w14:paraId="59A1A96D" w14:textId="26A49518" w:rsidR="003A691E" w:rsidRDefault="003A691E" w:rsidP="004034CD">
      <w:pPr>
        <w:pStyle w:val="BodyText"/>
      </w:pPr>
      <w:r>
        <w:t>We should state that we could not have asked for better interaction with the CEO, Lawrence Gosden, and have had good access also to the main Board ESG committee.</w:t>
      </w:r>
    </w:p>
    <w:p w14:paraId="0901DE78" w14:textId="77777777" w:rsidR="005A7C50" w:rsidRDefault="005A7C50" w:rsidP="004034CD">
      <w:pPr>
        <w:pStyle w:val="BodyText"/>
      </w:pPr>
    </w:p>
    <w:p w14:paraId="043FCA73" w14:textId="1B58010C" w:rsidR="004034CD" w:rsidRPr="004034CD" w:rsidRDefault="005A7C50" w:rsidP="004034CD">
      <w:pPr>
        <w:pStyle w:val="BodyText"/>
      </w:pPr>
      <w:r>
        <w:t>Southern Water</w:t>
      </w:r>
      <w:r w:rsidR="004034CD" w:rsidRPr="004034CD">
        <w:t xml:space="preserve"> </w:t>
      </w:r>
      <w:r w:rsidR="007C4D00">
        <w:t xml:space="preserve">working with the ICEG have </w:t>
      </w:r>
      <w:r>
        <w:t xml:space="preserve">also </w:t>
      </w:r>
      <w:r w:rsidR="007C4D00">
        <w:t xml:space="preserve">enhanced </w:t>
      </w:r>
      <w:r w:rsidR="004034CD" w:rsidRPr="004034CD">
        <w:t>work with partners</w:t>
      </w:r>
      <w:r w:rsidR="00C3530D">
        <w:t>,</w:t>
      </w:r>
      <w:r w:rsidR="007C4D00">
        <w:t xml:space="preserve"> </w:t>
      </w:r>
      <w:r w:rsidR="00C3530D" w:rsidRPr="004034CD">
        <w:t>many of whom are represented on the group</w:t>
      </w:r>
      <w:r w:rsidR="00C3530D">
        <w:t xml:space="preserve">. This </w:t>
      </w:r>
      <w:r w:rsidR="007C4D00">
        <w:t>includ</w:t>
      </w:r>
      <w:r w:rsidR="00C3530D">
        <w:t>es</w:t>
      </w:r>
      <w:r w:rsidR="007C4D00">
        <w:t xml:space="preserve"> moving to establish strategic partnerships</w:t>
      </w:r>
      <w:r w:rsidR="00C3530D">
        <w:t xml:space="preserve"> (though the proof of this will be how much difference it makes in the way PR24 is actually delivered</w:t>
      </w:r>
      <w:proofErr w:type="gramStart"/>
      <w:r w:rsidR="00C3530D">
        <w:t>)</w:t>
      </w:r>
      <w:r>
        <w:t>, and</w:t>
      </w:r>
      <w:proofErr w:type="gramEnd"/>
      <w:r>
        <w:t xml:space="preserve"> cre</w:t>
      </w:r>
      <w:r w:rsidR="00C3530D">
        <w:t>a</w:t>
      </w:r>
      <w:r>
        <w:t xml:space="preserve">ting </w:t>
      </w:r>
      <w:r w:rsidR="00C3530D">
        <w:t>areas of joined up delivery.</w:t>
      </w:r>
      <w:r w:rsidR="007C4D00">
        <w:t xml:space="preserve"> </w:t>
      </w:r>
    </w:p>
    <w:p w14:paraId="34977998" w14:textId="77777777" w:rsidR="0041109C" w:rsidRDefault="0041109C" w:rsidP="0041109C">
      <w:pPr>
        <w:pStyle w:val="BodyText"/>
      </w:pPr>
    </w:p>
    <w:p w14:paraId="0B2315A4" w14:textId="075FFF67" w:rsidR="00EA63E7" w:rsidRDefault="0041109C" w:rsidP="0041109C">
      <w:pPr>
        <w:pStyle w:val="BodyText"/>
      </w:pPr>
      <w:r>
        <w:t xml:space="preserve">We commented in our last report however </w:t>
      </w:r>
      <w:r w:rsidR="004034CD" w:rsidRPr="004034CD">
        <w:t>that Southern Water remain</w:t>
      </w:r>
      <w:r>
        <w:t>ed</w:t>
      </w:r>
      <w:r w:rsidR="004034CD" w:rsidRPr="004034CD">
        <w:t xml:space="preserve"> an inwardly facing and siloed organisation on environmental issues</w:t>
      </w:r>
      <w:r>
        <w:t xml:space="preserve"> and identified culture change </w:t>
      </w:r>
      <w:r w:rsidR="00EA63E7">
        <w:t>as something which was urgently needed</w:t>
      </w:r>
      <w:r w:rsidR="004034CD" w:rsidRPr="004034CD">
        <w:t xml:space="preserve">. This </w:t>
      </w:r>
      <w:r w:rsidR="00EA63E7">
        <w:t>wa</w:t>
      </w:r>
      <w:r w:rsidR="004034CD" w:rsidRPr="004034CD">
        <w:t xml:space="preserve">s in our view inhibiting the repair of </w:t>
      </w:r>
      <w:r w:rsidR="00532C1A">
        <w:t>its</w:t>
      </w:r>
      <w:r w:rsidR="004034CD" w:rsidRPr="004034CD">
        <w:t xml:space="preserve"> environmental reputation</w:t>
      </w:r>
      <w:r w:rsidR="00C3530D">
        <w:t>.</w:t>
      </w:r>
      <w:r w:rsidR="004034CD" w:rsidRPr="004034CD">
        <w:t xml:space="preserve"> </w:t>
      </w:r>
    </w:p>
    <w:p w14:paraId="4F9219DF" w14:textId="77777777" w:rsidR="00EA63E7" w:rsidRDefault="00EA63E7" w:rsidP="0041109C">
      <w:pPr>
        <w:pStyle w:val="BodyText"/>
      </w:pPr>
    </w:p>
    <w:p w14:paraId="2679C507" w14:textId="1A2CDF29" w:rsidR="0041109C" w:rsidRDefault="00EA63E7" w:rsidP="0041109C">
      <w:pPr>
        <w:pStyle w:val="BodyText"/>
      </w:pPr>
      <w:r>
        <w:t xml:space="preserve">The </w:t>
      </w:r>
      <w:r w:rsidR="00021167">
        <w:t xml:space="preserve">cultural </w:t>
      </w:r>
      <w:r>
        <w:t>position, while needing further progress</w:t>
      </w:r>
      <w:r w:rsidR="00203F4F">
        <w:t>,</w:t>
      </w:r>
      <w:r>
        <w:t xml:space="preserve"> has </w:t>
      </w:r>
      <w:r w:rsidR="00422D73">
        <w:t xml:space="preserve">probably </w:t>
      </w:r>
      <w:r>
        <w:t>improved somewhat. W</w:t>
      </w:r>
      <w:r w:rsidR="0041109C">
        <w:t xml:space="preserve">e pressed for, and Southern Water agreed to, </w:t>
      </w:r>
      <w:r>
        <w:t>the</w:t>
      </w:r>
      <w:r w:rsidR="0041109C">
        <w:t xml:space="preserve"> reestablish</w:t>
      </w:r>
      <w:r>
        <w:t>ment</w:t>
      </w:r>
      <w:r w:rsidR="0041109C">
        <w:t xml:space="preserve"> </w:t>
      </w:r>
      <w:r w:rsidR="00740B8B">
        <w:t xml:space="preserve">of </w:t>
      </w:r>
      <w:r w:rsidR="0041109C">
        <w:t>a single head of catchments and waste</w:t>
      </w:r>
      <w:r w:rsidR="00C3530D">
        <w:t>-</w:t>
      </w:r>
      <w:r w:rsidR="0041109C">
        <w:t>water discharges.</w:t>
      </w:r>
      <w:r>
        <w:t xml:space="preserve"> We have also received</w:t>
      </w:r>
      <w:r w:rsidR="00582F0E">
        <w:t xml:space="preserve"> assurance that lessons had been learnt from a coup</w:t>
      </w:r>
      <w:r w:rsidR="00C422F4">
        <w:t>l</w:t>
      </w:r>
      <w:r w:rsidR="00582F0E">
        <w:t>e of significant reporting failures</w:t>
      </w:r>
      <w:r w:rsidR="00203F4F">
        <w:t xml:space="preserve"> and we received a briefing on the company wide culture change programme</w:t>
      </w:r>
      <w:r w:rsidR="00582F0E">
        <w:t>.</w:t>
      </w:r>
    </w:p>
    <w:p w14:paraId="288859DD" w14:textId="77777777" w:rsidR="0041109C" w:rsidRPr="004034CD" w:rsidRDefault="0041109C" w:rsidP="0041109C">
      <w:pPr>
        <w:pStyle w:val="BodyText"/>
      </w:pPr>
    </w:p>
    <w:p w14:paraId="0F4C9C93" w14:textId="638FDC84" w:rsidR="004034CD" w:rsidRDefault="004034CD" w:rsidP="004034CD">
      <w:pPr>
        <w:pStyle w:val="BodyText"/>
      </w:pPr>
      <w:r w:rsidRPr="004034CD">
        <w:t xml:space="preserve">There is </w:t>
      </w:r>
      <w:r w:rsidR="00582F0E">
        <w:t>a</w:t>
      </w:r>
      <w:r w:rsidRPr="004034CD">
        <w:t xml:space="preserve"> </w:t>
      </w:r>
      <w:r w:rsidR="00422D73">
        <w:t xml:space="preserve">critical </w:t>
      </w:r>
      <w:r w:rsidRPr="004034CD">
        <w:t xml:space="preserve">need for culture change to </w:t>
      </w:r>
      <w:r w:rsidR="00582F0E">
        <w:t>be sustained</w:t>
      </w:r>
      <w:r w:rsidRPr="004034CD">
        <w:t xml:space="preserve"> in</w:t>
      </w:r>
      <w:r w:rsidR="00582F0E">
        <w:t xml:space="preserve"> term</w:t>
      </w:r>
      <w:r w:rsidR="00C07B19">
        <w:t>s</w:t>
      </w:r>
      <w:r w:rsidR="00582F0E">
        <w:t xml:space="preserve"> of:</w:t>
      </w:r>
    </w:p>
    <w:p w14:paraId="0BAAB0A6" w14:textId="77777777" w:rsidR="004034CD" w:rsidRPr="004034CD" w:rsidRDefault="004034CD" w:rsidP="004034CD">
      <w:pPr>
        <w:pStyle w:val="BodyText"/>
      </w:pPr>
    </w:p>
    <w:p w14:paraId="091F689B" w14:textId="5B5E470C" w:rsidR="004034CD" w:rsidRDefault="004034CD" w:rsidP="004034CD">
      <w:pPr>
        <w:pStyle w:val="BodyText"/>
        <w:numPr>
          <w:ilvl w:val="0"/>
          <w:numId w:val="24"/>
        </w:numPr>
      </w:pPr>
      <w:r w:rsidRPr="004034CD">
        <w:lastRenderedPageBreak/>
        <w:t>Consistency across the company</w:t>
      </w:r>
      <w:r w:rsidR="00582F0E">
        <w:t>, particularly at the front line</w:t>
      </w:r>
      <w:r w:rsidRPr="004034CD">
        <w:t xml:space="preserve">. More </w:t>
      </w:r>
      <w:proofErr w:type="gramStart"/>
      <w:r w:rsidR="00494F62" w:rsidRPr="004034CD">
        <w:t>join</w:t>
      </w:r>
      <w:proofErr w:type="gramEnd"/>
      <w:r w:rsidRPr="004034CD">
        <w:t xml:space="preserve"> up can also be done between customer engagement and environmental engagement, building on welcome ad hoc discussions. </w:t>
      </w:r>
      <w:r w:rsidR="006C5AA3">
        <w:t>The promised joint agenda setting etc between</w:t>
      </w:r>
      <w:r w:rsidR="00AC0538">
        <w:t xml:space="preserve"> independent</w:t>
      </w:r>
      <w:r w:rsidR="006C5AA3">
        <w:t xml:space="preserve"> customer and environment committees has yet to happen</w:t>
      </w:r>
      <w:r w:rsidR="005966B4">
        <w:t>.</w:t>
      </w:r>
      <w:r w:rsidR="006C5AA3">
        <w:t xml:space="preserve"> </w:t>
      </w:r>
    </w:p>
    <w:p w14:paraId="41E6FFD9" w14:textId="3EE7A939" w:rsidR="00A45C96" w:rsidRPr="004034CD" w:rsidRDefault="00874458" w:rsidP="004034CD">
      <w:pPr>
        <w:pStyle w:val="BodyText"/>
        <w:numPr>
          <w:ilvl w:val="0"/>
          <w:numId w:val="24"/>
        </w:numPr>
      </w:pPr>
      <w:r>
        <w:t xml:space="preserve">An external focus in terms of understanding </w:t>
      </w:r>
      <w:r w:rsidR="003A7F6F">
        <w:t xml:space="preserve">the viewpoint of </w:t>
      </w:r>
      <w:r w:rsidR="00430204">
        <w:t xml:space="preserve">those who are concerned about key </w:t>
      </w:r>
      <w:r w:rsidR="00494F62">
        <w:t>issues and</w:t>
      </w:r>
      <w:r w:rsidR="00430204">
        <w:t xml:space="preserve"> going the extra mile in thinking through </w:t>
      </w:r>
      <w:r w:rsidR="008171EB">
        <w:t xml:space="preserve">how to present and engage with these groups. </w:t>
      </w:r>
      <w:r w:rsidR="0037278A">
        <w:t xml:space="preserve">An example here would be the communication </w:t>
      </w:r>
      <w:proofErr w:type="gramStart"/>
      <w:r w:rsidR="0037278A">
        <w:t xml:space="preserve">of </w:t>
      </w:r>
      <w:r w:rsidR="00304D55">
        <w:t xml:space="preserve"> </w:t>
      </w:r>
      <w:r w:rsidR="00422D73">
        <w:t>the</w:t>
      </w:r>
      <w:proofErr w:type="gramEnd"/>
      <w:r w:rsidR="00422D73">
        <w:t xml:space="preserve"> fact </w:t>
      </w:r>
      <w:r w:rsidR="00304D55">
        <w:t>that a relatively small percentage of discharge monitors</w:t>
      </w:r>
      <w:r w:rsidR="00C477A6">
        <w:t xml:space="preserve"> will</w:t>
      </w:r>
      <w:r w:rsidR="00304D55">
        <w:t xml:space="preserve"> not be working at all times. </w:t>
      </w:r>
    </w:p>
    <w:p w14:paraId="5A4E2F44" w14:textId="1FAD2573" w:rsidR="00847BB5" w:rsidRDefault="00624A2F" w:rsidP="00847BB5">
      <w:pPr>
        <w:pStyle w:val="BodyText"/>
        <w:numPr>
          <w:ilvl w:val="0"/>
          <w:numId w:val="24"/>
        </w:numPr>
      </w:pPr>
      <w:r>
        <w:t>W</w:t>
      </w:r>
      <w:r w:rsidR="005966B4">
        <w:t>e recognise that Southern Water has been an organisation under fire, and we agree with the</w:t>
      </w:r>
      <w:r w:rsidR="00C476D7">
        <w:t xml:space="preserve"> appa</w:t>
      </w:r>
      <w:r w:rsidR="00CF20A1">
        <w:t>r</w:t>
      </w:r>
      <w:r w:rsidR="00C476D7">
        <w:t>ent</w:t>
      </w:r>
      <w:r w:rsidR="005966B4">
        <w:t xml:space="preserve"> ‘under</w:t>
      </w:r>
      <w:r w:rsidR="00494F62">
        <w:t>-</w:t>
      </w:r>
      <w:r w:rsidR="005966B4">
        <w:t>promise</w:t>
      </w:r>
      <w:r w:rsidR="00A244BA">
        <w:t>,</w:t>
      </w:r>
      <w:r w:rsidR="005966B4">
        <w:t xml:space="preserve"> over del</w:t>
      </w:r>
      <w:r w:rsidR="00C476D7">
        <w:t>i</w:t>
      </w:r>
      <w:r w:rsidR="005966B4">
        <w:t>ver</w:t>
      </w:r>
      <w:r w:rsidR="00C476D7">
        <w:t>’ approach</w:t>
      </w:r>
      <w:r w:rsidR="00422D73">
        <w:t xml:space="preserve"> – though this could be applied more consistently</w:t>
      </w:r>
      <w:r w:rsidR="00C476D7">
        <w:t xml:space="preserve">. </w:t>
      </w:r>
      <w:r w:rsidR="00847BB5">
        <w:t>The organisation could recognise more fully the tendency to turn in on itself which can easily follow</w:t>
      </w:r>
      <w:r w:rsidR="00A244BA">
        <w:t xml:space="preserve"> being under fire</w:t>
      </w:r>
      <w:r w:rsidR="00847BB5">
        <w:t>. And</w:t>
      </w:r>
      <w:r w:rsidR="00C476D7">
        <w:t xml:space="preserve"> </w:t>
      </w:r>
      <w:r w:rsidR="00A244BA">
        <w:t xml:space="preserve">the </w:t>
      </w:r>
      <w:r w:rsidR="00C476D7">
        <w:t xml:space="preserve">organisation could </w:t>
      </w:r>
      <w:r w:rsidR="00CF20A1">
        <w:t xml:space="preserve">sometimes </w:t>
      </w:r>
      <w:r w:rsidR="00C476D7">
        <w:t xml:space="preserve">be better at </w:t>
      </w:r>
      <w:r w:rsidR="00CF20A1">
        <w:t xml:space="preserve">doing what it says it will </w:t>
      </w:r>
      <w:r w:rsidR="00847BB5">
        <w:t>– one example, and we could cite others, would be</w:t>
      </w:r>
      <w:r w:rsidR="00847BB5" w:rsidRPr="00847BB5">
        <w:t xml:space="preserve"> </w:t>
      </w:r>
      <w:r w:rsidR="00847BB5">
        <w:t xml:space="preserve">the case for </w:t>
      </w:r>
      <w:r w:rsidR="00847BB5" w:rsidRPr="004034CD">
        <w:t xml:space="preserve">Southern Water’s procurement </w:t>
      </w:r>
      <w:r w:rsidR="00847BB5">
        <w:t>to</w:t>
      </w:r>
      <w:r w:rsidR="00847BB5" w:rsidRPr="004034CD">
        <w:t xml:space="preserve"> </w:t>
      </w:r>
      <w:proofErr w:type="gramStart"/>
      <w:r w:rsidR="00847BB5" w:rsidRPr="004034CD">
        <w:t>more fully recognise the value of working</w:t>
      </w:r>
      <w:proofErr w:type="gramEnd"/>
      <w:r w:rsidR="00847BB5" w:rsidRPr="004034CD">
        <w:t xml:space="preserve"> with NGOs/SMEs/local authority delivery partnership</w:t>
      </w:r>
      <w:r w:rsidR="00847BB5">
        <w:t>, which we raised in our last report and were given positive undertakings but where the lack of progress has been disappointing.</w:t>
      </w:r>
      <w:r w:rsidR="00422D73">
        <w:t xml:space="preserve"> (By contrast there has been good movement in more strategic partnership </w:t>
      </w:r>
      <w:proofErr w:type="gramStart"/>
      <w:r w:rsidR="00422D73">
        <w:t>through the use of</w:t>
      </w:r>
      <w:proofErr w:type="gramEnd"/>
      <w:r w:rsidR="00422D73">
        <w:t xml:space="preserve"> grants.)</w:t>
      </w:r>
      <w:r w:rsidR="00847BB5">
        <w:t xml:space="preserve"> </w:t>
      </w:r>
    </w:p>
    <w:p w14:paraId="0A6ECC1F" w14:textId="77777777" w:rsidR="004034CD" w:rsidRPr="004034CD" w:rsidRDefault="004034CD" w:rsidP="00F74340">
      <w:pPr>
        <w:pStyle w:val="BodyText"/>
        <w:ind w:left="720"/>
      </w:pPr>
    </w:p>
    <w:p w14:paraId="7BEC2F73" w14:textId="1FB86112" w:rsidR="006C5AA3" w:rsidRDefault="004034CD" w:rsidP="006C5AA3">
      <w:pPr>
        <w:rPr>
          <w:rFonts w:ascii="Avenir Next LT Pro" w:hAnsi="Avenir Next LT Pro"/>
          <w:sz w:val="20"/>
        </w:rPr>
      </w:pPr>
      <w:r w:rsidRPr="005966B4">
        <w:rPr>
          <w:rFonts w:ascii="Avenir Next LT Pro" w:hAnsi="Avenir Next LT Pro"/>
          <w:sz w:val="20"/>
        </w:rPr>
        <w:t>Areas where the ICEG have agreed ongoing discussion and work with Southern Water include:</w:t>
      </w:r>
      <w:r w:rsidR="006C5AA3" w:rsidRPr="005966B4">
        <w:rPr>
          <w:rFonts w:ascii="Avenir Next LT Pro" w:hAnsi="Avenir Next LT Pro"/>
          <w:sz w:val="20"/>
        </w:rPr>
        <w:t xml:space="preserve"> </w:t>
      </w:r>
    </w:p>
    <w:p w14:paraId="5E7A7FF9" w14:textId="77777777" w:rsidR="005966B4" w:rsidRPr="005966B4" w:rsidRDefault="005966B4" w:rsidP="006C5AA3">
      <w:pPr>
        <w:rPr>
          <w:rFonts w:ascii="Avenir Next LT Pro" w:hAnsi="Avenir Next LT Pro"/>
          <w:sz w:val="20"/>
        </w:rPr>
      </w:pPr>
    </w:p>
    <w:p w14:paraId="5A8434CA" w14:textId="47F28284" w:rsidR="006A27B1" w:rsidRDefault="00843946" w:rsidP="00847BB5">
      <w:pPr>
        <w:pStyle w:val="ListParagraph"/>
        <w:numPr>
          <w:ilvl w:val="0"/>
          <w:numId w:val="27"/>
        </w:numPr>
        <w:rPr>
          <w:rFonts w:ascii="Avenir Next LT Pro" w:hAnsi="Avenir Next LT Pro"/>
          <w:sz w:val="20"/>
        </w:rPr>
      </w:pPr>
      <w:r>
        <w:rPr>
          <w:rFonts w:ascii="Avenir Next LT Pro" w:hAnsi="Avenir Next LT Pro"/>
          <w:sz w:val="20"/>
        </w:rPr>
        <w:t>Better facilitat</w:t>
      </w:r>
      <w:r w:rsidR="00FA681A">
        <w:rPr>
          <w:rFonts w:ascii="Avenir Next LT Pro" w:hAnsi="Avenir Next LT Pro"/>
          <w:sz w:val="20"/>
        </w:rPr>
        <w:t>ing the i</w:t>
      </w:r>
      <w:r w:rsidR="006C5AA3" w:rsidRPr="00847BB5">
        <w:rPr>
          <w:rFonts w:ascii="Avenir Next LT Pro" w:hAnsi="Avenir Next LT Pro"/>
          <w:sz w:val="20"/>
        </w:rPr>
        <w:t>nterpretation of spills data</w:t>
      </w:r>
      <w:r w:rsidR="00FA681A">
        <w:rPr>
          <w:rFonts w:ascii="Avenir Next LT Pro" w:hAnsi="Avenir Next LT Pro"/>
          <w:sz w:val="20"/>
        </w:rPr>
        <w:t xml:space="preserve">, for example when a </w:t>
      </w:r>
      <w:r w:rsidR="00494F62">
        <w:rPr>
          <w:rFonts w:ascii="Avenir Next LT Pro" w:hAnsi="Avenir Next LT Pro"/>
          <w:sz w:val="20"/>
        </w:rPr>
        <w:t>spill</w:t>
      </w:r>
      <w:r w:rsidR="00FA681A">
        <w:rPr>
          <w:rFonts w:ascii="Avenir Next LT Pro" w:hAnsi="Avenir Next LT Pro"/>
          <w:sz w:val="20"/>
        </w:rPr>
        <w:t xml:space="preserve"> is likely to engender public health risks and or risks to the aquatic environment and when it is likely to be </w:t>
      </w:r>
      <w:proofErr w:type="gramStart"/>
      <w:r w:rsidR="00494F62">
        <w:rPr>
          <w:rFonts w:ascii="Avenir Next LT Pro" w:hAnsi="Avenir Next LT Pro"/>
          <w:sz w:val="20"/>
        </w:rPr>
        <w:t>inconsequential</w:t>
      </w:r>
      <w:proofErr w:type="gramEnd"/>
    </w:p>
    <w:p w14:paraId="3A26825F" w14:textId="55B9D159" w:rsidR="006C5AA3" w:rsidRDefault="006A27B1" w:rsidP="00847BB5">
      <w:pPr>
        <w:pStyle w:val="ListParagraph"/>
        <w:numPr>
          <w:ilvl w:val="0"/>
          <w:numId w:val="27"/>
        </w:numPr>
        <w:rPr>
          <w:rFonts w:ascii="Avenir Next LT Pro" w:hAnsi="Avenir Next LT Pro"/>
          <w:sz w:val="20"/>
        </w:rPr>
      </w:pPr>
      <w:r>
        <w:rPr>
          <w:rFonts w:ascii="Avenir Next LT Pro" w:hAnsi="Avenir Next LT Pro"/>
          <w:sz w:val="20"/>
        </w:rPr>
        <w:t xml:space="preserve">Extending automatic alerts of spills </w:t>
      </w:r>
      <w:r w:rsidR="00CC3F7E">
        <w:rPr>
          <w:rFonts w:ascii="Avenir Next LT Pro" w:hAnsi="Avenir Next LT Pro"/>
          <w:sz w:val="20"/>
        </w:rPr>
        <w:t xml:space="preserve">to organisations working in the aquatic environment </w:t>
      </w:r>
      <w:r w:rsidR="006C5AA3" w:rsidRPr="00847BB5">
        <w:rPr>
          <w:rFonts w:ascii="Avenir Next LT Pro" w:hAnsi="Avenir Next LT Pro"/>
          <w:sz w:val="20"/>
        </w:rPr>
        <w:t>beyond protected areas</w:t>
      </w:r>
    </w:p>
    <w:p w14:paraId="69A9335C" w14:textId="508274A2" w:rsidR="00C8638D" w:rsidRDefault="006A27B1" w:rsidP="006C5AA3">
      <w:pPr>
        <w:pStyle w:val="ListParagraph"/>
        <w:numPr>
          <w:ilvl w:val="0"/>
          <w:numId w:val="27"/>
        </w:numPr>
        <w:rPr>
          <w:rFonts w:ascii="Avenir Next LT Pro" w:hAnsi="Avenir Next LT Pro"/>
          <w:sz w:val="20"/>
        </w:rPr>
      </w:pPr>
      <w:r w:rsidRPr="006A27B1">
        <w:rPr>
          <w:rFonts w:ascii="Avenir Next LT Pro" w:hAnsi="Avenir Next LT Pro"/>
          <w:sz w:val="20"/>
        </w:rPr>
        <w:t>Dev</w:t>
      </w:r>
      <w:r w:rsidR="00843946">
        <w:rPr>
          <w:rFonts w:ascii="Avenir Next LT Pro" w:hAnsi="Avenir Next LT Pro"/>
          <w:sz w:val="20"/>
        </w:rPr>
        <w:t>e</w:t>
      </w:r>
      <w:r w:rsidRPr="006A27B1">
        <w:rPr>
          <w:rFonts w:ascii="Avenir Next LT Pro" w:hAnsi="Avenir Next LT Pro"/>
          <w:sz w:val="20"/>
        </w:rPr>
        <w:t xml:space="preserve">loping </w:t>
      </w:r>
      <w:r>
        <w:rPr>
          <w:rFonts w:ascii="Avenir Next LT Pro" w:hAnsi="Avenir Next LT Pro"/>
          <w:sz w:val="20"/>
        </w:rPr>
        <w:t xml:space="preserve">the </w:t>
      </w:r>
      <w:r w:rsidR="00BA4CE0">
        <w:rPr>
          <w:rFonts w:ascii="Avenir Next LT Pro" w:hAnsi="Avenir Next LT Pro"/>
          <w:sz w:val="20"/>
        </w:rPr>
        <w:t xml:space="preserve">assessment </w:t>
      </w:r>
      <w:r>
        <w:rPr>
          <w:rFonts w:ascii="Avenir Next LT Pro" w:hAnsi="Avenir Next LT Pro"/>
          <w:sz w:val="20"/>
        </w:rPr>
        <w:t xml:space="preserve">of Carbon considerations </w:t>
      </w:r>
      <w:r w:rsidR="00BA4CE0">
        <w:rPr>
          <w:rFonts w:ascii="Avenir Next LT Pro" w:hAnsi="Avenir Next LT Pro"/>
          <w:sz w:val="20"/>
        </w:rPr>
        <w:t>in</w:t>
      </w:r>
      <w:r w:rsidR="00C8638D">
        <w:rPr>
          <w:rFonts w:ascii="Avenir Next LT Pro" w:hAnsi="Avenir Next LT Pro"/>
          <w:sz w:val="20"/>
        </w:rPr>
        <w:t xml:space="preserve"> individual decisions</w:t>
      </w:r>
      <w:r w:rsidR="00BA4CE0">
        <w:rPr>
          <w:rFonts w:ascii="Avenir Next LT Pro" w:hAnsi="Avenir Next LT Pro"/>
          <w:sz w:val="20"/>
        </w:rPr>
        <w:t xml:space="preserve"> and projects</w:t>
      </w:r>
    </w:p>
    <w:p w14:paraId="0E2915D6" w14:textId="37C14C1C" w:rsidR="006C5AA3" w:rsidRDefault="00C8638D" w:rsidP="006C5AA3">
      <w:pPr>
        <w:pStyle w:val="ListParagraph"/>
        <w:numPr>
          <w:ilvl w:val="0"/>
          <w:numId w:val="27"/>
        </w:numPr>
        <w:rPr>
          <w:rFonts w:ascii="Avenir Next LT Pro" w:hAnsi="Avenir Next LT Pro"/>
          <w:sz w:val="20"/>
        </w:rPr>
      </w:pPr>
      <w:r>
        <w:rPr>
          <w:rFonts w:ascii="Avenir Next LT Pro" w:hAnsi="Avenir Next LT Pro"/>
          <w:sz w:val="20"/>
        </w:rPr>
        <w:t>Creating models for</w:t>
      </w:r>
      <w:r w:rsidR="006C5AA3" w:rsidRPr="006A27B1">
        <w:rPr>
          <w:rFonts w:ascii="Avenir Next LT Pro" w:hAnsi="Avenir Next LT Pro"/>
          <w:sz w:val="20"/>
        </w:rPr>
        <w:t xml:space="preserve"> loca</w:t>
      </w:r>
      <w:r>
        <w:rPr>
          <w:rFonts w:ascii="Avenir Next LT Pro" w:hAnsi="Avenir Next LT Pro"/>
          <w:sz w:val="20"/>
        </w:rPr>
        <w:t xml:space="preserve">l Carbon </w:t>
      </w:r>
      <w:r w:rsidR="006C5AA3" w:rsidRPr="006A27B1">
        <w:rPr>
          <w:rFonts w:ascii="Avenir Next LT Pro" w:hAnsi="Avenir Next LT Pro"/>
          <w:sz w:val="20"/>
        </w:rPr>
        <w:t>sequest</w:t>
      </w:r>
      <w:r w:rsidR="00843946">
        <w:rPr>
          <w:rFonts w:ascii="Avenir Next LT Pro" w:hAnsi="Avenir Next LT Pro"/>
          <w:sz w:val="20"/>
        </w:rPr>
        <w:t>ration</w:t>
      </w:r>
      <w:r w:rsidR="006C5AA3" w:rsidRPr="006A27B1">
        <w:rPr>
          <w:rFonts w:ascii="Avenir Next LT Pro" w:hAnsi="Avenir Next LT Pro"/>
          <w:sz w:val="20"/>
        </w:rPr>
        <w:t xml:space="preserve"> </w:t>
      </w:r>
      <w:r>
        <w:rPr>
          <w:rFonts w:ascii="Avenir Next LT Pro" w:hAnsi="Avenir Next LT Pro"/>
          <w:sz w:val="20"/>
        </w:rPr>
        <w:t xml:space="preserve">and using this to enhance </w:t>
      </w:r>
      <w:r w:rsidR="006C5AA3" w:rsidRPr="006A27B1">
        <w:rPr>
          <w:rFonts w:ascii="Avenir Next LT Pro" w:hAnsi="Avenir Next LT Pro"/>
          <w:sz w:val="20"/>
        </w:rPr>
        <w:t>water efficiency</w:t>
      </w:r>
      <w:r>
        <w:rPr>
          <w:rFonts w:ascii="Avenir Next LT Pro" w:hAnsi="Avenir Next LT Pro"/>
          <w:sz w:val="20"/>
        </w:rPr>
        <w:t xml:space="preserve"> me</w:t>
      </w:r>
      <w:r w:rsidR="00843946">
        <w:rPr>
          <w:rFonts w:ascii="Avenir Next LT Pro" w:hAnsi="Avenir Next LT Pro"/>
          <w:sz w:val="20"/>
        </w:rPr>
        <w:t>s</w:t>
      </w:r>
      <w:r>
        <w:rPr>
          <w:rFonts w:ascii="Avenir Next LT Pro" w:hAnsi="Avenir Next LT Pro"/>
          <w:sz w:val="20"/>
        </w:rPr>
        <w:t>saging.</w:t>
      </w:r>
    </w:p>
    <w:p w14:paraId="14BB4370" w14:textId="62146EB9" w:rsidR="00AD4C71" w:rsidRDefault="00C8638D" w:rsidP="006C5AA3">
      <w:pPr>
        <w:pStyle w:val="ListParagraph"/>
        <w:numPr>
          <w:ilvl w:val="0"/>
          <w:numId w:val="27"/>
        </w:numPr>
        <w:rPr>
          <w:rFonts w:ascii="Avenir Next LT Pro" w:hAnsi="Avenir Next LT Pro"/>
          <w:sz w:val="20"/>
        </w:rPr>
      </w:pPr>
      <w:r w:rsidRPr="00AD4C71">
        <w:rPr>
          <w:rFonts w:ascii="Avenir Next LT Pro" w:hAnsi="Avenir Next LT Pro"/>
          <w:sz w:val="20"/>
        </w:rPr>
        <w:t>Assur</w:t>
      </w:r>
      <w:r w:rsidR="00422D73">
        <w:rPr>
          <w:rFonts w:ascii="Avenir Next LT Pro" w:hAnsi="Avenir Next LT Pro"/>
          <w:sz w:val="20"/>
        </w:rPr>
        <w:t xml:space="preserve">ance </w:t>
      </w:r>
      <w:r w:rsidR="009E10A6">
        <w:rPr>
          <w:rFonts w:ascii="Avenir Next LT Pro" w:hAnsi="Avenir Next LT Pro"/>
          <w:sz w:val="20"/>
        </w:rPr>
        <w:t xml:space="preserve">that </w:t>
      </w:r>
      <w:r w:rsidR="009E10A6" w:rsidRPr="00AD4C71">
        <w:rPr>
          <w:rFonts w:ascii="Avenir Next LT Pro" w:hAnsi="Avenir Next LT Pro"/>
          <w:sz w:val="20"/>
        </w:rPr>
        <w:t>Southern</w:t>
      </w:r>
      <w:r w:rsidRPr="00AD4C71">
        <w:rPr>
          <w:rFonts w:ascii="Avenir Next LT Pro" w:hAnsi="Avenir Next LT Pro"/>
          <w:sz w:val="20"/>
        </w:rPr>
        <w:t xml:space="preserve"> Wate</w:t>
      </w:r>
      <w:r w:rsidR="00494F62">
        <w:rPr>
          <w:rFonts w:ascii="Avenir Next LT Pro" w:hAnsi="Avenir Next LT Pro"/>
          <w:sz w:val="20"/>
        </w:rPr>
        <w:t>r</w:t>
      </w:r>
      <w:r w:rsidRPr="00AD4C71">
        <w:rPr>
          <w:rFonts w:ascii="Avenir Next LT Pro" w:hAnsi="Avenir Next LT Pro"/>
          <w:sz w:val="20"/>
        </w:rPr>
        <w:t xml:space="preserve"> </w:t>
      </w:r>
      <w:r w:rsidR="00AD4C71" w:rsidRPr="00AD4C71">
        <w:rPr>
          <w:rFonts w:ascii="Avenir Next LT Pro" w:hAnsi="Avenir Next LT Pro"/>
          <w:sz w:val="20"/>
        </w:rPr>
        <w:t xml:space="preserve">fully understand and </w:t>
      </w:r>
      <w:r w:rsidR="00422D73">
        <w:rPr>
          <w:rFonts w:ascii="Avenir Next LT Pro" w:hAnsi="Avenir Next LT Pro"/>
          <w:sz w:val="20"/>
        </w:rPr>
        <w:t xml:space="preserve">are </w:t>
      </w:r>
      <w:r w:rsidR="00AD4C71" w:rsidRPr="00AD4C71">
        <w:rPr>
          <w:rFonts w:ascii="Avenir Next LT Pro" w:hAnsi="Avenir Next LT Pro"/>
          <w:sz w:val="20"/>
        </w:rPr>
        <w:t>reduc</w:t>
      </w:r>
      <w:r w:rsidR="00422D73">
        <w:rPr>
          <w:rFonts w:ascii="Avenir Next LT Pro" w:hAnsi="Avenir Next LT Pro"/>
          <w:sz w:val="20"/>
        </w:rPr>
        <w:t>ing</w:t>
      </w:r>
      <w:r w:rsidR="00AD4C71" w:rsidRPr="00AD4C71">
        <w:rPr>
          <w:rFonts w:ascii="Avenir Next LT Pro" w:hAnsi="Avenir Next LT Pro"/>
          <w:sz w:val="20"/>
        </w:rPr>
        <w:t xml:space="preserve"> the environmental footprint of their supply chain.</w:t>
      </w:r>
    </w:p>
    <w:p w14:paraId="7FDA6B1A" w14:textId="259C47CA" w:rsidR="00AD4C71" w:rsidRDefault="00AD4C71" w:rsidP="006C5AA3">
      <w:pPr>
        <w:pStyle w:val="ListParagraph"/>
        <w:numPr>
          <w:ilvl w:val="0"/>
          <w:numId w:val="27"/>
        </w:numPr>
        <w:rPr>
          <w:rFonts w:ascii="Avenir Next LT Pro" w:hAnsi="Avenir Next LT Pro"/>
          <w:sz w:val="20"/>
        </w:rPr>
      </w:pPr>
      <w:r>
        <w:rPr>
          <w:rFonts w:ascii="Avenir Next LT Pro" w:hAnsi="Avenir Next LT Pro"/>
          <w:sz w:val="20"/>
        </w:rPr>
        <w:t xml:space="preserve">Developing considerations of the footprint of the </w:t>
      </w:r>
      <w:r w:rsidR="00494F62">
        <w:rPr>
          <w:rFonts w:ascii="Avenir Next LT Pro" w:hAnsi="Avenir Next LT Pro"/>
          <w:sz w:val="20"/>
        </w:rPr>
        <w:t>company’s’</w:t>
      </w:r>
      <w:r>
        <w:rPr>
          <w:rFonts w:ascii="Avenir Next LT Pro" w:hAnsi="Avenir Next LT Pro"/>
          <w:sz w:val="20"/>
        </w:rPr>
        <w:t xml:space="preserve"> activities on l</w:t>
      </w:r>
      <w:r w:rsidR="006C5AA3" w:rsidRPr="00AD4C71">
        <w:rPr>
          <w:rFonts w:ascii="Avenir Next LT Pro" w:hAnsi="Avenir Next LT Pro"/>
          <w:sz w:val="20"/>
        </w:rPr>
        <w:t>andscape and amenity</w:t>
      </w:r>
      <w:r>
        <w:rPr>
          <w:rFonts w:ascii="Avenir Next LT Pro" w:hAnsi="Avenir Next LT Pro"/>
          <w:sz w:val="20"/>
        </w:rPr>
        <w:t xml:space="preserve"> – beyond some good practice with the two National Parks</w:t>
      </w:r>
    </w:p>
    <w:p w14:paraId="0D7CB5EA" w14:textId="77777777" w:rsidR="00AD4C71" w:rsidRPr="00AD4C71" w:rsidRDefault="00AD4C71" w:rsidP="00AD4C71">
      <w:pPr>
        <w:pStyle w:val="ListParagraph"/>
        <w:numPr>
          <w:ilvl w:val="0"/>
          <w:numId w:val="27"/>
        </w:numPr>
      </w:pPr>
      <w:r w:rsidRPr="00AD4C71">
        <w:rPr>
          <w:rFonts w:ascii="Avenir Next LT Pro" w:hAnsi="Avenir Next LT Pro"/>
          <w:sz w:val="20"/>
        </w:rPr>
        <w:t xml:space="preserve">Issues surrounding </w:t>
      </w:r>
      <w:r>
        <w:rPr>
          <w:rFonts w:ascii="Avenir Next LT Pro" w:hAnsi="Avenir Next LT Pro"/>
          <w:sz w:val="20"/>
        </w:rPr>
        <w:t>a</w:t>
      </w:r>
      <w:r w:rsidR="006C5AA3" w:rsidRPr="00AD4C71">
        <w:rPr>
          <w:rFonts w:ascii="Avenir Next LT Pro" w:hAnsi="Avenir Next LT Pro"/>
          <w:sz w:val="20"/>
        </w:rPr>
        <w:t xml:space="preserve">daptation and climate </w:t>
      </w:r>
      <w:proofErr w:type="gramStart"/>
      <w:r w:rsidR="006C5AA3" w:rsidRPr="00AD4C71">
        <w:rPr>
          <w:rFonts w:ascii="Avenir Next LT Pro" w:hAnsi="Avenir Next LT Pro"/>
          <w:sz w:val="20"/>
        </w:rPr>
        <w:t>resilience</w:t>
      </w:r>
      <w:proofErr w:type="gramEnd"/>
      <w:r w:rsidR="006C5AA3" w:rsidRPr="00AD4C71">
        <w:rPr>
          <w:rFonts w:ascii="Avenir Next LT Pro" w:hAnsi="Avenir Next LT Pro"/>
          <w:sz w:val="20"/>
        </w:rPr>
        <w:t xml:space="preserve"> </w:t>
      </w:r>
    </w:p>
    <w:p w14:paraId="022B9619" w14:textId="6E7B7C9A" w:rsidR="004034CD" w:rsidRPr="004034CD" w:rsidRDefault="00AD4C71" w:rsidP="004034CD">
      <w:pPr>
        <w:pStyle w:val="ListParagraph"/>
        <w:numPr>
          <w:ilvl w:val="0"/>
          <w:numId w:val="25"/>
        </w:numPr>
      </w:pPr>
      <w:r w:rsidRPr="00AD4C71">
        <w:rPr>
          <w:rFonts w:ascii="Avenir Next LT Pro" w:hAnsi="Avenir Next LT Pro"/>
          <w:sz w:val="20"/>
        </w:rPr>
        <w:t>H</w:t>
      </w:r>
      <w:r w:rsidR="004034CD" w:rsidRPr="00AD4C71">
        <w:rPr>
          <w:rFonts w:ascii="Avenir Next LT Pro" w:hAnsi="Avenir Next LT Pro"/>
          <w:sz w:val="20"/>
        </w:rPr>
        <w:t>elping move to a better place based/locational presentation of issues and data</w:t>
      </w:r>
      <w:r>
        <w:rPr>
          <w:rFonts w:ascii="Avenir Next LT Pro" w:hAnsi="Avenir Next LT Pro"/>
          <w:sz w:val="20"/>
        </w:rPr>
        <w:t xml:space="preserve"> and thereby </w:t>
      </w:r>
      <w:r w:rsidRPr="00AD4C71">
        <w:rPr>
          <w:rFonts w:ascii="Avenir Next LT Pro" w:hAnsi="Avenir Next LT Pro"/>
          <w:sz w:val="20"/>
        </w:rPr>
        <w:t>b</w:t>
      </w:r>
      <w:r w:rsidR="004034CD" w:rsidRPr="00AD4C71">
        <w:rPr>
          <w:rFonts w:ascii="Avenir Next LT Pro" w:hAnsi="Avenir Next LT Pro"/>
          <w:sz w:val="20"/>
        </w:rPr>
        <w:t xml:space="preserve">uilding consistent messaging to and working with </w:t>
      </w:r>
      <w:proofErr w:type="gramStart"/>
      <w:r w:rsidR="004034CD" w:rsidRPr="00AD4C71">
        <w:rPr>
          <w:rFonts w:ascii="Avenir Next LT Pro" w:hAnsi="Avenir Next LT Pro"/>
          <w:sz w:val="20"/>
        </w:rPr>
        <w:t>communities;</w:t>
      </w:r>
      <w:proofErr w:type="gramEnd"/>
    </w:p>
    <w:p w14:paraId="0614F91E" w14:textId="6DA59D7B" w:rsidR="00322C5E" w:rsidRDefault="00AD4C71" w:rsidP="004034CD">
      <w:pPr>
        <w:pStyle w:val="BodyText"/>
        <w:numPr>
          <w:ilvl w:val="0"/>
          <w:numId w:val="25"/>
        </w:numPr>
      </w:pPr>
      <w:r>
        <w:t>Following conclusion of the new environment strategy and the price review, n</w:t>
      </w:r>
      <w:r w:rsidR="004034CD" w:rsidRPr="004034CD">
        <w:t xml:space="preserve">esting individual environment actions and communication within a coherent big </w:t>
      </w:r>
      <w:proofErr w:type="gramStart"/>
      <w:r w:rsidR="004034CD" w:rsidRPr="004034CD">
        <w:t>picture</w:t>
      </w:r>
      <w:r w:rsidR="00322C5E">
        <w:t>;</w:t>
      </w:r>
      <w:proofErr w:type="gramEnd"/>
    </w:p>
    <w:p w14:paraId="5D29F547" w14:textId="12DADC82" w:rsidR="004034CD" w:rsidRPr="00322C5E" w:rsidRDefault="00322C5E" w:rsidP="004034CD">
      <w:pPr>
        <w:pStyle w:val="BodyText"/>
        <w:numPr>
          <w:ilvl w:val="0"/>
          <w:numId w:val="25"/>
        </w:numPr>
      </w:pPr>
      <w:r>
        <w:rPr>
          <w:rFonts w:eastAsiaTheme="minorHAnsi" w:cs="Arial"/>
          <w:color w:val="242424"/>
          <w:shd w:val="clear" w:color="auto" w:fill="FFFFFF"/>
        </w:rPr>
        <w:t>T</w:t>
      </w:r>
      <w:r w:rsidRPr="00322C5E">
        <w:rPr>
          <w:rFonts w:eastAsiaTheme="minorHAnsi" w:cs="Arial"/>
          <w:color w:val="242424"/>
          <w:shd w:val="clear" w:color="auto" w:fill="FFFFFF"/>
        </w:rPr>
        <w:t xml:space="preserve">he water resources side of the business, </w:t>
      </w:r>
      <w:r>
        <w:rPr>
          <w:rFonts w:eastAsiaTheme="minorHAnsi" w:cs="Arial"/>
          <w:color w:val="242424"/>
          <w:shd w:val="clear" w:color="auto" w:fill="FFFFFF"/>
        </w:rPr>
        <w:t xml:space="preserve">particularly given concerns – which we need to examine – raised in </w:t>
      </w:r>
      <w:r w:rsidRPr="00322C5E">
        <w:rPr>
          <w:rFonts w:eastAsiaTheme="minorHAnsi" w:cs="Arial"/>
          <w:color w:val="242424"/>
          <w:shd w:val="clear" w:color="auto" w:fill="FFFFFF"/>
        </w:rPr>
        <w:t>the recent letter to the company from its regulators </w:t>
      </w:r>
      <w:hyperlink r:id="rId15" w:tooltip="Protected by Outlook: https://www.ofwat.gov.uk/wp-content/uploads/2024/10/OFF-SEN-AR24-JRL-letter-Southern-Water-Draft-Final.pdf. Click or tap to follow the link." w:history="1">
        <w:r w:rsidRPr="00322C5E">
          <w:rPr>
            <w:rFonts w:eastAsiaTheme="minorHAnsi" w:cs="Arial"/>
            <w:color w:val="0563C1"/>
            <w:u w:val="single"/>
            <w:bdr w:val="none" w:sz="0" w:space="0" w:color="auto" w:frame="1"/>
            <w:shd w:val="clear" w:color="auto" w:fill="FFFFFF"/>
          </w:rPr>
          <w:t>OFF-SEN-AR24-JRL-letter-Southern-Water-Draft-Final.pdf</w:t>
        </w:r>
      </w:hyperlink>
      <w:r w:rsidRPr="00322C5E">
        <w:rPr>
          <w:rFonts w:eastAsiaTheme="minorHAnsi" w:cs="Arial"/>
          <w:color w:val="242424"/>
          <w:shd w:val="clear" w:color="auto" w:fill="FFFFFF"/>
        </w:rPr>
        <w:t xml:space="preserve">. Given the prevalence of chalk streams in the company’s patch, it’s crucial that </w:t>
      </w:r>
      <w:r>
        <w:rPr>
          <w:rFonts w:eastAsiaTheme="minorHAnsi" w:cs="Arial"/>
          <w:color w:val="242424"/>
          <w:shd w:val="clear" w:color="auto" w:fill="FFFFFF"/>
        </w:rPr>
        <w:t xml:space="preserve">we and </w:t>
      </w:r>
      <w:r w:rsidRPr="00322C5E">
        <w:rPr>
          <w:rFonts w:eastAsiaTheme="minorHAnsi" w:cs="Arial"/>
          <w:color w:val="242424"/>
          <w:shd w:val="clear" w:color="auto" w:fill="FFFFFF"/>
        </w:rPr>
        <w:t>they don’t</w:t>
      </w:r>
      <w:r>
        <w:rPr>
          <w:rFonts w:eastAsiaTheme="minorHAnsi" w:cs="Arial"/>
          <w:color w:val="242424"/>
          <w:shd w:val="clear" w:color="auto" w:fill="FFFFFF"/>
        </w:rPr>
        <w:t xml:space="preserve"> solely</w:t>
      </w:r>
      <w:r w:rsidRPr="00322C5E">
        <w:rPr>
          <w:rFonts w:eastAsiaTheme="minorHAnsi" w:cs="Arial"/>
          <w:color w:val="242424"/>
          <w:shd w:val="clear" w:color="auto" w:fill="FFFFFF"/>
        </w:rPr>
        <w:t xml:space="preserve"> focus on wastewater and pollution, despite the public interest in these topics, to the detriment of securing sustainable abstraction</w:t>
      </w:r>
      <w:proofErr w:type="gramStart"/>
      <w:r w:rsidRPr="00322C5E">
        <w:rPr>
          <w:rFonts w:eastAsiaTheme="minorHAnsi" w:cs="Arial"/>
          <w:color w:val="242424"/>
          <w:shd w:val="clear" w:color="auto" w:fill="FFFFFF"/>
        </w:rPr>
        <w:t>. </w:t>
      </w:r>
      <w:r w:rsidR="003A691E" w:rsidRPr="00322C5E">
        <w:t>;</w:t>
      </w:r>
      <w:proofErr w:type="gramEnd"/>
    </w:p>
    <w:p w14:paraId="75CAB1D0" w14:textId="77777777" w:rsidR="004034CD" w:rsidRPr="004034CD" w:rsidRDefault="004034CD" w:rsidP="004034CD">
      <w:pPr>
        <w:pStyle w:val="BodyText"/>
        <w:ind w:left="720"/>
      </w:pPr>
    </w:p>
    <w:p w14:paraId="3C2C66D3" w14:textId="77777777" w:rsidR="00D17847" w:rsidRDefault="00D17847" w:rsidP="004034CD">
      <w:pPr>
        <w:pStyle w:val="BodyText"/>
      </w:pPr>
    </w:p>
    <w:p w14:paraId="31F9DBB3" w14:textId="77777777" w:rsidR="00D17847" w:rsidRDefault="00D17847" w:rsidP="004034CD">
      <w:pPr>
        <w:pStyle w:val="BodyText"/>
      </w:pPr>
    </w:p>
    <w:p w14:paraId="73CDB2E6" w14:textId="5846D22D" w:rsidR="006B26AD" w:rsidRDefault="00D17847" w:rsidP="004034CD">
      <w:pPr>
        <w:pStyle w:val="BodyText"/>
      </w:pPr>
      <w:r>
        <w:t xml:space="preserve">Professor Martin </w:t>
      </w:r>
      <w:proofErr w:type="gramStart"/>
      <w:r>
        <w:t>Hurst  Chair</w:t>
      </w:r>
      <w:proofErr w:type="gramEnd"/>
    </w:p>
    <w:p w14:paraId="2FF9FF8F" w14:textId="77777777" w:rsidR="006B26AD" w:rsidRDefault="006B26AD">
      <w:pPr>
        <w:rPr>
          <w:rFonts w:ascii="Avenir Next LT Pro" w:eastAsia="Times New Roman" w:hAnsi="Avenir Next LT Pro"/>
          <w:sz w:val="20"/>
        </w:rPr>
      </w:pPr>
      <w:r>
        <w:br w:type="page"/>
      </w:r>
    </w:p>
    <w:p w14:paraId="775D7B0E" w14:textId="77777777" w:rsidR="00D17847" w:rsidRPr="004034CD" w:rsidRDefault="00D17847" w:rsidP="004034CD">
      <w:pPr>
        <w:pStyle w:val="BodyText"/>
      </w:pPr>
    </w:p>
    <w:p w14:paraId="5B612644" w14:textId="77777777" w:rsidR="004034CD" w:rsidRPr="004034CD" w:rsidRDefault="004034CD" w:rsidP="004034CD">
      <w:pPr>
        <w:pStyle w:val="BodyText"/>
        <w:rPr>
          <w:u w:val="single"/>
        </w:rPr>
      </w:pPr>
    </w:p>
    <w:p w14:paraId="3905DB77" w14:textId="2CC7D6B3" w:rsidR="004034CD" w:rsidRDefault="004034CD" w:rsidP="004034CD">
      <w:pPr>
        <w:pStyle w:val="Heading1"/>
      </w:pPr>
      <w:bookmarkStart w:id="5" w:name="_Toc187249565"/>
      <w:r w:rsidRPr="004034CD">
        <w:t>Background</w:t>
      </w:r>
      <w:bookmarkEnd w:id="5"/>
    </w:p>
    <w:p w14:paraId="098464F3" w14:textId="77777777" w:rsidR="004034CD" w:rsidRPr="004034CD" w:rsidRDefault="004034CD" w:rsidP="004034CD">
      <w:pPr>
        <w:pStyle w:val="BodyText"/>
        <w:rPr>
          <w:u w:val="single"/>
        </w:rPr>
      </w:pPr>
    </w:p>
    <w:p w14:paraId="30C13920" w14:textId="14C855E8" w:rsidR="004034CD" w:rsidRDefault="004034CD" w:rsidP="004034CD">
      <w:pPr>
        <w:pStyle w:val="BodyText"/>
      </w:pPr>
      <w:r w:rsidRPr="004034CD">
        <w:t xml:space="preserve">This is the </w:t>
      </w:r>
      <w:r w:rsidR="00DD0BDC">
        <w:t>second</w:t>
      </w:r>
      <w:r w:rsidRPr="004034CD">
        <w:t xml:space="preserve"> annual report of this group, which was formed at the suggestion of Southern Water at the start of 2022-23. It covers both our assessment of Southern Water’s performance on environment and climate, so far as we are able, to add to the regulatory </w:t>
      </w:r>
      <w:r w:rsidR="00494F62">
        <w:t>2</w:t>
      </w:r>
      <w:r w:rsidR="00494F62" w:rsidRPr="004034CD">
        <w:t>-star</w:t>
      </w:r>
      <w:r w:rsidRPr="004034CD">
        <w:t xml:space="preserve"> EPA scoring from the Environment Agency</w:t>
      </w:r>
      <w:r w:rsidR="00235D6B">
        <w:t xml:space="preserve"> for 2023</w:t>
      </w:r>
      <w:r w:rsidRPr="004034CD">
        <w:t>, and our assessment of how Southern Water are working with the group and with its wider environmental community.</w:t>
      </w:r>
    </w:p>
    <w:p w14:paraId="2B204105" w14:textId="77777777" w:rsidR="004034CD" w:rsidRPr="004034CD" w:rsidRDefault="004034CD" w:rsidP="004034CD">
      <w:pPr>
        <w:pStyle w:val="BodyText"/>
      </w:pPr>
    </w:p>
    <w:p w14:paraId="7FB952BE" w14:textId="0A94689C" w:rsidR="004034CD" w:rsidRDefault="004034CD" w:rsidP="004034CD">
      <w:pPr>
        <w:pStyle w:val="BodyText"/>
      </w:pPr>
      <w:r w:rsidRPr="004034CD">
        <w:t>The membership of the group has expanded over the year, and the current membership is attached at annex 2. It comprises local and national NGOs, government regulators, the consumer council for water</w:t>
      </w:r>
      <w:r w:rsidR="00F26235">
        <w:t xml:space="preserve"> (CCW)</w:t>
      </w:r>
      <w:r w:rsidRPr="004034CD">
        <w:t xml:space="preserve">, local authorities (including their delivery partnerships) and national parks, </w:t>
      </w:r>
      <w:r w:rsidR="00266F48">
        <w:t xml:space="preserve">along with </w:t>
      </w:r>
      <w:r w:rsidRPr="004034CD">
        <w:t xml:space="preserve">a climate expert. </w:t>
      </w:r>
      <w:r w:rsidR="006B26AD">
        <w:t xml:space="preserve"> We should stress that while the EA</w:t>
      </w:r>
      <w:r w:rsidR="00F26235">
        <w:t>,</w:t>
      </w:r>
      <w:r w:rsidR="006B26AD">
        <w:t xml:space="preserve"> NE </w:t>
      </w:r>
      <w:r w:rsidR="00F26235">
        <w:t xml:space="preserve">and CCW </w:t>
      </w:r>
      <w:r w:rsidR="006B26AD">
        <w:t xml:space="preserve">are extremely valuable members of this group, in recognition of the tension with their statutory roles this </w:t>
      </w:r>
      <w:r w:rsidR="00815571">
        <w:t>report covers only the views of the other members of the ICEG</w:t>
      </w:r>
      <w:r w:rsidR="005C58E5">
        <w:t xml:space="preserve"> – EA </w:t>
      </w:r>
      <w:proofErr w:type="gramStart"/>
      <w:r w:rsidR="005C58E5">
        <w:t>in particular have</w:t>
      </w:r>
      <w:proofErr w:type="gramEnd"/>
      <w:r w:rsidR="005C58E5">
        <w:t xml:space="preserve"> stressed that they cannot be portrayed as supporting all the views in the report</w:t>
      </w:r>
      <w:r w:rsidR="00815571">
        <w:t>.</w:t>
      </w:r>
    </w:p>
    <w:p w14:paraId="1A03976B" w14:textId="77777777" w:rsidR="004034CD" w:rsidRPr="004034CD" w:rsidRDefault="004034CD" w:rsidP="004034CD">
      <w:pPr>
        <w:pStyle w:val="BodyText"/>
      </w:pPr>
    </w:p>
    <w:p w14:paraId="03A8463A" w14:textId="564CC9C8" w:rsidR="004034CD" w:rsidRPr="00AA1364" w:rsidRDefault="004034CD" w:rsidP="00AA1364">
      <w:pPr>
        <w:rPr>
          <w:rFonts w:ascii="Avenir Next LT Pro" w:eastAsia="Times New Roman" w:hAnsi="Avenir Next LT Pro"/>
          <w:sz w:val="20"/>
        </w:rPr>
      </w:pPr>
      <w:r w:rsidRPr="00AA1364">
        <w:rPr>
          <w:rFonts w:ascii="Avenir Next LT Pro" w:hAnsi="Avenir Next LT Pro"/>
          <w:sz w:val="20"/>
        </w:rPr>
        <w:t xml:space="preserve">The group is very grateful to Sean Ashworth </w:t>
      </w:r>
      <w:r w:rsidR="00663AA8" w:rsidRPr="00AA1364">
        <w:rPr>
          <w:rFonts w:ascii="Avenir Next LT Pro" w:hAnsi="Avenir Next LT Pro"/>
          <w:sz w:val="20"/>
        </w:rPr>
        <w:t xml:space="preserve">and Dan </w:t>
      </w:r>
      <w:r w:rsidR="00196694" w:rsidRPr="00AA1364">
        <w:rPr>
          <w:rFonts w:ascii="Avenir Next LT Pro" w:hAnsi="Avenir Next LT Pro"/>
          <w:sz w:val="20"/>
        </w:rPr>
        <w:t xml:space="preserve">Ross </w:t>
      </w:r>
      <w:r w:rsidRPr="00AA1364">
        <w:rPr>
          <w:rFonts w:ascii="Avenir Next LT Pro" w:hAnsi="Avenir Next LT Pro"/>
          <w:sz w:val="20"/>
        </w:rPr>
        <w:t xml:space="preserve">in Southern Water for </w:t>
      </w:r>
      <w:r w:rsidR="00367261" w:rsidRPr="00AA1364">
        <w:rPr>
          <w:rFonts w:ascii="Avenir Next LT Pro" w:hAnsi="Avenir Next LT Pro"/>
          <w:sz w:val="20"/>
        </w:rPr>
        <w:t>excellent</w:t>
      </w:r>
      <w:r w:rsidRPr="00AA1364">
        <w:rPr>
          <w:rFonts w:ascii="Avenir Next LT Pro" w:hAnsi="Avenir Next LT Pro"/>
          <w:sz w:val="20"/>
        </w:rPr>
        <w:t xml:space="preserve"> support and has enjoyed good access to senior executives from the CEO down</w:t>
      </w:r>
      <w:r w:rsidR="00196694" w:rsidRPr="00AA1364">
        <w:rPr>
          <w:rFonts w:ascii="Avenir Next LT Pro" w:hAnsi="Avenir Next LT Pro"/>
          <w:sz w:val="20"/>
        </w:rPr>
        <w:t xml:space="preserve"> with the main Board ESG sub</w:t>
      </w:r>
      <w:r w:rsidR="00F26235" w:rsidRPr="00AA1364">
        <w:rPr>
          <w:rFonts w:ascii="Avenir Next LT Pro" w:hAnsi="Avenir Next LT Pro"/>
          <w:sz w:val="20"/>
        </w:rPr>
        <w:t>-</w:t>
      </w:r>
      <w:r w:rsidR="00196694" w:rsidRPr="00AA1364">
        <w:rPr>
          <w:rFonts w:ascii="Avenir Next LT Pro" w:hAnsi="Avenir Next LT Pro"/>
          <w:sz w:val="20"/>
        </w:rPr>
        <w:t>committee</w:t>
      </w:r>
      <w:r w:rsidRPr="00AA1364">
        <w:rPr>
          <w:rFonts w:ascii="Avenir Next LT Pro" w:hAnsi="Avenir Next LT Pro"/>
          <w:sz w:val="20"/>
        </w:rPr>
        <w:t xml:space="preserve">. </w:t>
      </w:r>
      <w:r w:rsidR="00367261" w:rsidRPr="00AA1364">
        <w:rPr>
          <w:rFonts w:ascii="Avenir Next LT Pro" w:hAnsi="Avenir Next LT Pro"/>
          <w:sz w:val="20"/>
        </w:rPr>
        <w:t xml:space="preserve">We would </w:t>
      </w:r>
      <w:proofErr w:type="gramStart"/>
      <w:r w:rsidR="00367261" w:rsidRPr="00AA1364">
        <w:rPr>
          <w:rFonts w:ascii="Avenir Next LT Pro" w:hAnsi="Avenir Next LT Pro"/>
          <w:sz w:val="20"/>
        </w:rPr>
        <w:t>in particular commend</w:t>
      </w:r>
      <w:proofErr w:type="gramEnd"/>
      <w:r w:rsidR="00367261" w:rsidRPr="00AA1364">
        <w:rPr>
          <w:rFonts w:ascii="Avenir Next LT Pro" w:hAnsi="Avenir Next LT Pro"/>
          <w:sz w:val="20"/>
        </w:rPr>
        <w:t xml:space="preserve"> the support and willingness to submit </w:t>
      </w:r>
      <w:r w:rsidR="00D67258" w:rsidRPr="00AA1364">
        <w:rPr>
          <w:rFonts w:ascii="Avenir Next LT Pro" w:hAnsi="Avenir Next LT Pro"/>
          <w:sz w:val="20"/>
        </w:rPr>
        <w:t xml:space="preserve">himself </w:t>
      </w:r>
      <w:r w:rsidR="00367261" w:rsidRPr="00AA1364">
        <w:rPr>
          <w:rFonts w:ascii="Avenir Next LT Pro" w:hAnsi="Avenir Next LT Pro"/>
          <w:sz w:val="20"/>
        </w:rPr>
        <w:t>to questioning of Lawrence Gosden, the CEO</w:t>
      </w:r>
      <w:r w:rsidR="007C4267" w:rsidRPr="00AA1364">
        <w:rPr>
          <w:rFonts w:ascii="Avenir Next LT Pro" w:hAnsi="Avenir Next LT Pro"/>
          <w:sz w:val="20"/>
        </w:rPr>
        <w:t xml:space="preserve"> – and welcome his </w:t>
      </w:r>
      <w:r w:rsidR="007C4267" w:rsidRPr="00AA1364">
        <w:rPr>
          <w:rFonts w:ascii="Avenir Next LT Pro" w:eastAsia="Times New Roman" w:hAnsi="Avenir Next LT Pro" w:cs="Arial"/>
          <w:sz w:val="20"/>
        </w:rPr>
        <w:t>positive</w:t>
      </w:r>
      <w:r w:rsidR="00AA1364" w:rsidRPr="00AA1364">
        <w:rPr>
          <w:rFonts w:ascii="Avenir Next LT Pro" w:eastAsia="Times New Roman" w:hAnsi="Avenir Next LT Pro" w:cs="Arial"/>
          <w:sz w:val="20"/>
        </w:rPr>
        <w:t xml:space="preserve"> response</w:t>
      </w:r>
      <w:r w:rsidR="007C4267" w:rsidRPr="00AA1364">
        <w:rPr>
          <w:rFonts w:ascii="Avenir Next LT Pro" w:eastAsia="Times New Roman" w:hAnsi="Avenir Next LT Pro" w:cs="Arial"/>
          <w:sz w:val="20"/>
        </w:rPr>
        <w:t xml:space="preserve"> to the idea of an environmental page in plans / reports, summarising the environmental outcomes that PR24 will deliver</w:t>
      </w:r>
      <w:r w:rsidR="00D67258">
        <w:t>.</w:t>
      </w:r>
    </w:p>
    <w:p w14:paraId="791A50D3" w14:textId="77777777" w:rsidR="004034CD" w:rsidRPr="004034CD" w:rsidRDefault="004034CD" w:rsidP="004034CD">
      <w:pPr>
        <w:pStyle w:val="BodyText"/>
      </w:pPr>
    </w:p>
    <w:p w14:paraId="699AD4A4" w14:textId="50EFFE6F" w:rsidR="004034CD" w:rsidRDefault="004034CD" w:rsidP="004034CD">
      <w:pPr>
        <w:pStyle w:val="BodyText"/>
      </w:pPr>
      <w:r w:rsidRPr="004034CD">
        <w:t>The group have also had access to, and we hope informed, many of the key Southern Water processes/statutory or regulatory documents</w:t>
      </w:r>
      <w:r w:rsidR="00D67258">
        <w:t>. O</w:t>
      </w:r>
      <w:r w:rsidR="004C6DE7">
        <w:t xml:space="preserve">bviously given the timing, the </w:t>
      </w:r>
      <w:r w:rsidR="004F12B7">
        <w:t>ongoing price review has been central</w:t>
      </w:r>
      <w:r w:rsidRPr="004034CD">
        <w:t>.</w:t>
      </w:r>
      <w:r w:rsidR="004F12B7">
        <w:t xml:space="preserve"> We have delayed this report </w:t>
      </w:r>
      <w:proofErr w:type="gramStart"/>
      <w:r w:rsidR="004F12B7">
        <w:t>in order to</w:t>
      </w:r>
      <w:proofErr w:type="gramEnd"/>
      <w:r w:rsidR="004F12B7">
        <w:t xml:space="preserve"> </w:t>
      </w:r>
      <w:r w:rsidR="00340C96">
        <w:t xml:space="preserve">take on board any issues which have arisen as a result of the company’s reaction to the draft determination and to </w:t>
      </w:r>
      <w:r w:rsidR="00815571">
        <w:t>t</w:t>
      </w:r>
      <w:r w:rsidR="00340C96">
        <w:t>he EA’s annual EPA rating.</w:t>
      </w:r>
    </w:p>
    <w:p w14:paraId="740D4582" w14:textId="77777777" w:rsidR="004034CD" w:rsidRPr="004034CD" w:rsidRDefault="004034CD" w:rsidP="004034CD">
      <w:pPr>
        <w:pStyle w:val="BodyText"/>
      </w:pPr>
    </w:p>
    <w:p w14:paraId="73DC92E8" w14:textId="019B9456" w:rsidR="004034CD" w:rsidRDefault="004034CD" w:rsidP="004034CD">
      <w:pPr>
        <w:pStyle w:val="Heading1"/>
      </w:pPr>
      <w:bookmarkStart w:id="6" w:name="_Toc187249566"/>
      <w:r w:rsidRPr="004034CD">
        <w:t>Environmental water quality</w:t>
      </w:r>
      <w:bookmarkEnd w:id="6"/>
    </w:p>
    <w:p w14:paraId="48964716" w14:textId="77777777" w:rsidR="004034CD" w:rsidRPr="004034CD" w:rsidRDefault="004034CD" w:rsidP="004034CD">
      <w:pPr>
        <w:pStyle w:val="BodyText"/>
        <w:rPr>
          <w:u w:val="single"/>
        </w:rPr>
      </w:pPr>
    </w:p>
    <w:p w14:paraId="6FFCCDBB" w14:textId="4831F866" w:rsidR="004034CD" w:rsidRDefault="004034CD" w:rsidP="004034CD">
      <w:pPr>
        <w:pStyle w:val="BodyText"/>
      </w:pPr>
      <w:r w:rsidRPr="004034CD">
        <w:t xml:space="preserve">The region covered by Southern Water has </w:t>
      </w:r>
      <w:proofErr w:type="gramStart"/>
      <w:r w:rsidRPr="004034CD">
        <w:t>a number of</w:t>
      </w:r>
      <w:proofErr w:type="gramEnd"/>
      <w:r w:rsidRPr="004034CD">
        <w:t xml:space="preserve"> important types of aquatic biodiversity:</w:t>
      </w:r>
    </w:p>
    <w:p w14:paraId="40134B74" w14:textId="77777777" w:rsidR="004034CD" w:rsidRPr="004034CD" w:rsidRDefault="004034CD" w:rsidP="004034CD">
      <w:pPr>
        <w:pStyle w:val="BodyText"/>
      </w:pPr>
    </w:p>
    <w:p w14:paraId="506D7E16" w14:textId="10AD553D" w:rsidR="004034CD" w:rsidRDefault="004034CD" w:rsidP="004034CD">
      <w:pPr>
        <w:pStyle w:val="BodyText"/>
        <w:numPr>
          <w:ilvl w:val="0"/>
          <w:numId w:val="25"/>
        </w:numPr>
      </w:pPr>
      <w:r w:rsidRPr="004034CD">
        <w:t xml:space="preserve">Globally important chalk streams, with 2/3 of the chalk streams in the world </w:t>
      </w:r>
      <w:proofErr w:type="gramStart"/>
      <w:r w:rsidRPr="004034CD">
        <w:t>being located in</w:t>
      </w:r>
      <w:proofErr w:type="gramEnd"/>
      <w:r w:rsidRPr="004034CD">
        <w:t xml:space="preserve"> the south and east of England. The Test and the Itchen are rightly regarded as the jewels in the crown, but many other chalks streams are also important.</w:t>
      </w:r>
    </w:p>
    <w:p w14:paraId="64AF0124" w14:textId="16FC9487" w:rsidR="00D67258" w:rsidRPr="004034CD" w:rsidRDefault="00D67258" w:rsidP="004034CD">
      <w:pPr>
        <w:pStyle w:val="BodyText"/>
        <w:numPr>
          <w:ilvl w:val="0"/>
          <w:numId w:val="25"/>
        </w:numPr>
      </w:pPr>
      <w:r>
        <w:t>Other river environments such as those on Kent clay.</w:t>
      </w:r>
    </w:p>
    <w:p w14:paraId="138AF546" w14:textId="31F314D6" w:rsidR="004034CD" w:rsidRPr="004034CD" w:rsidRDefault="004034CD" w:rsidP="004034CD">
      <w:pPr>
        <w:pStyle w:val="BodyText"/>
        <w:numPr>
          <w:ilvl w:val="0"/>
          <w:numId w:val="25"/>
        </w:numPr>
      </w:pPr>
      <w:r w:rsidRPr="004034CD">
        <w:t xml:space="preserve">Marine ecosystems including </w:t>
      </w:r>
      <w:r w:rsidR="00340C96">
        <w:t>k</w:t>
      </w:r>
      <w:r w:rsidRPr="004034CD">
        <w:t xml:space="preserve">elp, and sea grass. These also support important shellfish </w:t>
      </w:r>
      <w:r w:rsidR="00340C96">
        <w:t>waters</w:t>
      </w:r>
      <w:r w:rsidRPr="004034CD">
        <w:t>.</w:t>
      </w:r>
    </w:p>
    <w:p w14:paraId="54F04BC1" w14:textId="4BB7732F" w:rsidR="004034CD" w:rsidRDefault="004034CD" w:rsidP="004034CD">
      <w:pPr>
        <w:pStyle w:val="BodyText"/>
        <w:numPr>
          <w:ilvl w:val="0"/>
          <w:numId w:val="25"/>
        </w:numPr>
      </w:pPr>
      <w:r w:rsidRPr="004034CD">
        <w:t>Coastal ecosystems including salt marsh/intertidal habitats. These provide among other things important habitats for overwintering waders.</w:t>
      </w:r>
    </w:p>
    <w:p w14:paraId="57CAAB17" w14:textId="77777777" w:rsidR="004034CD" w:rsidRPr="004034CD" w:rsidRDefault="004034CD" w:rsidP="0097110C">
      <w:pPr>
        <w:pStyle w:val="BodyText"/>
        <w:ind w:left="720"/>
      </w:pPr>
    </w:p>
    <w:p w14:paraId="21971656" w14:textId="2B49C2E7" w:rsidR="004034CD" w:rsidRDefault="004034CD" w:rsidP="004034CD">
      <w:pPr>
        <w:pStyle w:val="BodyText"/>
      </w:pPr>
      <w:r w:rsidRPr="004034CD">
        <w:t xml:space="preserve">There are </w:t>
      </w:r>
      <w:proofErr w:type="gramStart"/>
      <w:r w:rsidRPr="004034CD">
        <w:t>a number of</w:t>
      </w:r>
      <w:proofErr w:type="gramEnd"/>
      <w:r w:rsidRPr="004034CD">
        <w:t xml:space="preserve"> sources of data on the </w:t>
      </w:r>
      <w:r w:rsidR="00066ED3">
        <w:t xml:space="preserve">aquatic </w:t>
      </w:r>
      <w:r w:rsidRPr="004034CD">
        <w:t>environment in the company’s region, but many of these are partial/driven by reporting against particular pieces of statute. The</w:t>
      </w:r>
      <w:r w:rsidR="00825108">
        <w:t xml:space="preserve"> ongoing work on the company’s environment strategy has enabled some at least of these to be brought together at company level</w:t>
      </w:r>
      <w:r w:rsidRPr="004034CD">
        <w:t>.</w:t>
      </w:r>
    </w:p>
    <w:p w14:paraId="598CC42A" w14:textId="77777777" w:rsidR="00825108" w:rsidRPr="004034CD" w:rsidRDefault="00825108" w:rsidP="004034CD">
      <w:pPr>
        <w:pStyle w:val="BodyText"/>
      </w:pPr>
    </w:p>
    <w:p w14:paraId="4C535D44" w14:textId="6358E91B" w:rsidR="004034CD" w:rsidRDefault="004034CD" w:rsidP="004034CD">
      <w:pPr>
        <w:pStyle w:val="BodyText"/>
      </w:pPr>
      <w:r w:rsidRPr="004034CD">
        <w:t xml:space="preserve">We also welcome the company’s production of natural capital accounts for </w:t>
      </w:r>
      <w:r w:rsidR="00066ED3">
        <w:t>selected</w:t>
      </w:r>
      <w:r w:rsidRPr="004034CD">
        <w:t xml:space="preserve"> catchments.</w:t>
      </w:r>
    </w:p>
    <w:p w14:paraId="57401A4A" w14:textId="77777777" w:rsidR="004034CD" w:rsidRPr="004034CD" w:rsidRDefault="004034CD" w:rsidP="004034CD">
      <w:pPr>
        <w:pStyle w:val="BodyText"/>
      </w:pPr>
    </w:p>
    <w:p w14:paraId="352DC7C8" w14:textId="513D5FA6" w:rsidR="004034CD" w:rsidRDefault="004034CD" w:rsidP="004034CD">
      <w:pPr>
        <w:pStyle w:val="BodyText"/>
      </w:pPr>
      <w:r w:rsidRPr="004034CD">
        <w:lastRenderedPageBreak/>
        <w:t>There is notably poorer data on the state of marine/coastal habitats – even allowing for WFD reporting up to 1km offshore.</w:t>
      </w:r>
    </w:p>
    <w:p w14:paraId="3A8B4A2F" w14:textId="77777777" w:rsidR="004034CD" w:rsidRPr="004034CD" w:rsidRDefault="004034CD" w:rsidP="004034CD">
      <w:pPr>
        <w:pStyle w:val="BodyText"/>
      </w:pPr>
    </w:p>
    <w:p w14:paraId="64C2D8E6" w14:textId="77777777" w:rsidR="004034CD" w:rsidRPr="004034CD" w:rsidRDefault="004034CD" w:rsidP="004034CD">
      <w:pPr>
        <w:pStyle w:val="BodyText"/>
      </w:pPr>
    </w:p>
    <w:p w14:paraId="5683532D" w14:textId="4BD706BF" w:rsidR="004034CD" w:rsidRDefault="004034CD" w:rsidP="004034CD">
      <w:pPr>
        <w:pStyle w:val="Heading1"/>
      </w:pPr>
      <w:bookmarkStart w:id="7" w:name="_Toc137807937"/>
      <w:bookmarkStart w:id="8" w:name="_Toc187249567"/>
      <w:r w:rsidRPr="004034CD">
        <w:t>Catchment</w:t>
      </w:r>
      <w:r w:rsidR="00DE0341">
        <w:t xml:space="preserve"> and partnership </w:t>
      </w:r>
      <w:r w:rsidRPr="004034CD">
        <w:t>working</w:t>
      </w:r>
      <w:bookmarkEnd w:id="7"/>
      <w:bookmarkEnd w:id="8"/>
    </w:p>
    <w:p w14:paraId="220D7F1D" w14:textId="77777777" w:rsidR="004034CD" w:rsidRPr="004034CD" w:rsidRDefault="004034CD" w:rsidP="004034CD">
      <w:pPr>
        <w:pStyle w:val="BodyText"/>
        <w:rPr>
          <w:u w:val="single"/>
        </w:rPr>
      </w:pPr>
    </w:p>
    <w:p w14:paraId="48AAC892" w14:textId="3D0516C2" w:rsidR="004034CD" w:rsidRDefault="004034CD" w:rsidP="00F24219">
      <w:pPr>
        <w:pStyle w:val="BodyText"/>
      </w:pPr>
      <w:r w:rsidRPr="004034CD">
        <w:t xml:space="preserve">Southern Water have a track record over some years in working at catchment level with partners such as the </w:t>
      </w:r>
      <w:r w:rsidR="00C7377F">
        <w:t>R</w:t>
      </w:r>
      <w:r w:rsidRPr="004034CD">
        <w:t xml:space="preserve">ivers </w:t>
      </w:r>
      <w:r w:rsidR="00C7377F">
        <w:t>T</w:t>
      </w:r>
      <w:r w:rsidRPr="004034CD">
        <w:t xml:space="preserve">rusts and </w:t>
      </w:r>
      <w:r w:rsidR="00C7377F">
        <w:t>W</w:t>
      </w:r>
      <w:r w:rsidRPr="004034CD">
        <w:t xml:space="preserve">ildlife </w:t>
      </w:r>
      <w:r w:rsidR="00C7377F">
        <w:t>T</w:t>
      </w:r>
      <w:r w:rsidRPr="004034CD">
        <w:t xml:space="preserve">rusts. Particularly good examples might be the Arun Valley, River </w:t>
      </w:r>
      <w:proofErr w:type="gramStart"/>
      <w:r w:rsidRPr="004034CD">
        <w:t>Anton</w:t>
      </w:r>
      <w:proofErr w:type="gramEnd"/>
      <w:r w:rsidRPr="004034CD">
        <w:t xml:space="preserve"> and the Beult. </w:t>
      </w:r>
    </w:p>
    <w:p w14:paraId="51F44C9E" w14:textId="77777777" w:rsidR="004034CD" w:rsidRPr="004034CD" w:rsidRDefault="004034CD" w:rsidP="004034CD">
      <w:pPr>
        <w:pStyle w:val="BodyText"/>
      </w:pPr>
    </w:p>
    <w:p w14:paraId="76D5B019" w14:textId="49902E2F" w:rsidR="00DE0341" w:rsidRDefault="00C7377F" w:rsidP="00C7377F">
      <w:pPr>
        <w:pStyle w:val="BodyText"/>
      </w:pPr>
      <w:r w:rsidRPr="00C7377F">
        <w:t xml:space="preserve">More recently they are directly </w:t>
      </w:r>
      <w:r w:rsidR="007A51BA">
        <w:t>providing top</w:t>
      </w:r>
      <w:r w:rsidR="00F26235">
        <w:t>-</w:t>
      </w:r>
      <w:r w:rsidR="007A51BA">
        <w:t xml:space="preserve">up </w:t>
      </w:r>
      <w:r w:rsidRPr="00C7377F">
        <w:t xml:space="preserve">funding </w:t>
      </w:r>
      <w:r w:rsidR="00F26235">
        <w:t xml:space="preserve">to </w:t>
      </w:r>
      <w:proofErr w:type="gramStart"/>
      <w:r w:rsidRPr="00C7377F">
        <w:t>a number of</w:t>
      </w:r>
      <w:proofErr w:type="gramEnd"/>
      <w:r w:rsidRPr="00C7377F">
        <w:t xml:space="preserve"> the formal catchment partnerships in the region.</w:t>
      </w:r>
      <w:r w:rsidR="007A51BA">
        <w:t xml:space="preserve"> This is welcome. </w:t>
      </w:r>
    </w:p>
    <w:p w14:paraId="0ABB82B4" w14:textId="69798AFB" w:rsidR="00C7377F" w:rsidRPr="00C7377F" w:rsidRDefault="00C7377F" w:rsidP="00C7377F">
      <w:pPr>
        <w:pStyle w:val="BodyText"/>
      </w:pPr>
      <w:r w:rsidRPr="00C7377F">
        <w:t xml:space="preserve"> </w:t>
      </w:r>
    </w:p>
    <w:p w14:paraId="4F5A72E0" w14:textId="2AC69F1C" w:rsidR="00F24219" w:rsidRPr="00AE4174" w:rsidRDefault="00276624" w:rsidP="00C7377F">
      <w:pPr>
        <w:pStyle w:val="BodyText"/>
      </w:pPr>
      <w:r>
        <w:t xml:space="preserve">Building on this, we </w:t>
      </w:r>
      <w:r w:rsidR="002B01C1">
        <w:t xml:space="preserve">have been glad to see </w:t>
      </w:r>
      <w:r w:rsidR="00C7377F" w:rsidRPr="00C7377F">
        <w:t>strengthening partnership work being undertaken in the area around Chichester, Langstone and Pagham harbours under the Three Harbours Strategy development</w:t>
      </w:r>
      <w:r w:rsidR="00F24219">
        <w:t xml:space="preserve"> and on the Test and the Itchen</w:t>
      </w:r>
      <w:r w:rsidR="00266F48">
        <w:t xml:space="preserve"> rivers</w:t>
      </w:r>
      <w:r w:rsidR="00C7377F" w:rsidRPr="00C7377F">
        <w:t xml:space="preserve">.  </w:t>
      </w:r>
      <w:r w:rsidR="00F24219">
        <w:t xml:space="preserve">We also strongly support work </w:t>
      </w:r>
      <w:r w:rsidR="000D2B8E">
        <w:t xml:space="preserve">on </w:t>
      </w:r>
      <w:r w:rsidR="00F24219">
        <w:t>aquatic initiatives in and with the two National Parks in the region: the New Forest and the South Downs</w:t>
      </w:r>
      <w:r w:rsidR="00AE4174">
        <w:t xml:space="preserve">  - though </w:t>
      </w:r>
      <w:r w:rsidR="00AE4174" w:rsidRPr="00AE4174">
        <w:t xml:space="preserve">we </w:t>
      </w:r>
      <w:r w:rsidR="00AE4174" w:rsidRPr="00AE4174">
        <w:rPr>
          <w:rFonts w:eastAsiaTheme="minorHAnsi"/>
          <w:color w:val="242424"/>
          <w:shd w:val="clear" w:color="auto" w:fill="FFFFFF"/>
        </w:rPr>
        <w:t xml:space="preserve"> would not say this has yet gone as far as best practice particularly in relation to duty in s245 of the LURA to further the purposes of National Parks which relates to all public bodies and undertakers (including SW and Ofwat) </w:t>
      </w:r>
      <w:hyperlink r:id="rId16" w:tooltip="Protected by Outlook: https://www.gov.uk/government/publications/the-protected-landscapes-duty/guidance-for-relevant-authorities-on-seeking-to-further-the-purposes-of-protected-landscapes. Click or tap to follow the link." w:history="1">
        <w:r w:rsidR="00AE4174" w:rsidRPr="00AE4174">
          <w:rPr>
            <w:rFonts w:eastAsiaTheme="minorHAnsi"/>
            <w:color w:val="0563C1"/>
            <w:u w:val="single"/>
            <w:bdr w:val="none" w:sz="0" w:space="0" w:color="auto" w:frame="1"/>
            <w:shd w:val="clear" w:color="auto" w:fill="FFFFFF"/>
          </w:rPr>
          <w:t>https://www.gov.uk/government/publications/the-protected-landscapes-duty/guidance-for-relevant-authorities-on-seeking-to-further-the-purposes-of-protected-landscapes</w:t>
        </w:r>
      </w:hyperlink>
      <w:r w:rsidR="00F24219" w:rsidRPr="00AE4174">
        <w:t xml:space="preserve"> </w:t>
      </w:r>
    </w:p>
    <w:p w14:paraId="7FB9BF64" w14:textId="77777777" w:rsidR="00F24219" w:rsidRDefault="00F24219" w:rsidP="00C7377F">
      <w:pPr>
        <w:pStyle w:val="BodyText"/>
      </w:pPr>
    </w:p>
    <w:p w14:paraId="4EDE5CA8" w14:textId="3B48979E" w:rsidR="006D26BD" w:rsidRDefault="00C7377F" w:rsidP="00C7377F">
      <w:pPr>
        <w:pStyle w:val="BodyText"/>
      </w:pPr>
      <w:r w:rsidRPr="00C7377F">
        <w:t>The</w:t>
      </w:r>
      <w:r w:rsidR="00F24219">
        <w:t>se</w:t>
      </w:r>
      <w:r w:rsidRPr="00C7377F">
        <w:t xml:space="preserve"> partnership</w:t>
      </w:r>
      <w:r w:rsidR="00F24219">
        <w:t>s</w:t>
      </w:r>
      <w:r w:rsidRPr="00C7377F">
        <w:t xml:space="preserve"> aim to galvanise existing collaboration and focus resources on the most pressing priorities.  </w:t>
      </w:r>
      <w:r w:rsidR="00F24219">
        <w:t>Their</w:t>
      </w:r>
      <w:r w:rsidRPr="00C7377F">
        <w:t xml:space="preserve"> success is dependent on continued buy</w:t>
      </w:r>
      <w:r w:rsidR="00F26235">
        <w:t>-</w:t>
      </w:r>
      <w:r w:rsidRPr="00C7377F">
        <w:t xml:space="preserve">in from leadership across partnership organisations, particularly Southern Water, sustaining growing momentum and refining focus. </w:t>
      </w:r>
    </w:p>
    <w:p w14:paraId="7115367A" w14:textId="77777777" w:rsidR="006D26BD" w:rsidRDefault="006D26BD" w:rsidP="00C7377F">
      <w:pPr>
        <w:pStyle w:val="BodyText"/>
      </w:pPr>
    </w:p>
    <w:p w14:paraId="64EBE6DD" w14:textId="2EB0BD6A" w:rsidR="002B01C1" w:rsidRPr="00C7377F" w:rsidRDefault="002B01C1" w:rsidP="00C7377F">
      <w:pPr>
        <w:pStyle w:val="BodyText"/>
      </w:pPr>
      <w:r>
        <w:t>A separate initiat</w:t>
      </w:r>
      <w:r w:rsidR="00C801EB">
        <w:t>i</w:t>
      </w:r>
      <w:r>
        <w:t xml:space="preserve">ve we have provided a measure of assurance on and warmly welcome </w:t>
      </w:r>
      <w:r w:rsidR="005D1E94">
        <w:t xml:space="preserve">are the surface water pilots, initially with the Isle of Wight and now being rolled out more widely, initially to Kent but with the intention of joint working with all </w:t>
      </w:r>
      <w:r w:rsidR="00697AD5">
        <w:t xml:space="preserve">the upper tier authorities </w:t>
      </w:r>
      <w:r w:rsidR="005D1E94">
        <w:t xml:space="preserve"> in the region:</w:t>
      </w:r>
      <w:r w:rsidR="00A9412E">
        <w:t xml:space="preserve"> in addition to Kent these are </w:t>
      </w:r>
      <w:r w:rsidR="005D1E94">
        <w:t xml:space="preserve"> East </w:t>
      </w:r>
      <w:r w:rsidR="00A9412E">
        <w:t>S</w:t>
      </w:r>
      <w:r w:rsidR="005D1E94">
        <w:t>ussex,</w:t>
      </w:r>
      <w:r w:rsidR="00A9412E">
        <w:t xml:space="preserve"> West Sussex and Hampshire</w:t>
      </w:r>
      <w:r w:rsidR="00697AD5">
        <w:t xml:space="preserve"> (</w:t>
      </w:r>
      <w:r w:rsidR="00C801EB">
        <w:t xml:space="preserve">noting that </w:t>
      </w:r>
      <w:r w:rsidR="00697AD5">
        <w:t>the Isle of Wight is a unitary, not an upper tier authority)</w:t>
      </w:r>
      <w:r w:rsidR="00A9412E">
        <w:t>.</w:t>
      </w:r>
      <w:r w:rsidR="005D1E94">
        <w:t xml:space="preserve"> </w:t>
      </w:r>
      <w:r>
        <w:t xml:space="preserve"> </w:t>
      </w:r>
    </w:p>
    <w:p w14:paraId="0EA87D29" w14:textId="77777777" w:rsidR="004034CD" w:rsidRDefault="004034CD" w:rsidP="004034CD">
      <w:pPr>
        <w:pStyle w:val="BodyText"/>
      </w:pPr>
    </w:p>
    <w:p w14:paraId="14CCB654" w14:textId="238C616D" w:rsidR="00C801EB" w:rsidRDefault="00C801EB" w:rsidP="004034CD">
      <w:pPr>
        <w:pStyle w:val="BodyText"/>
      </w:pPr>
      <w:r>
        <w:t xml:space="preserve">Finally, and critically, we have actively promoted and welcomed Southern Water’s work to establish strategic partnerships with the NGO delivery bodies. We believe that without this we cannot built up the supply chain and expertise needed to make the case for the </w:t>
      </w:r>
      <w:r w:rsidR="006D26BD">
        <w:t xml:space="preserve">fuller </w:t>
      </w:r>
      <w:r>
        <w:t xml:space="preserve">roll out </w:t>
      </w:r>
      <w:r w:rsidR="006D26BD">
        <w:t xml:space="preserve">of </w:t>
      </w:r>
      <w:r>
        <w:t>catchment/</w:t>
      </w:r>
      <w:r w:rsidR="00494F62">
        <w:t>nature-based</w:t>
      </w:r>
      <w:r>
        <w:t xml:space="preserve"> approaches.  </w:t>
      </w:r>
    </w:p>
    <w:p w14:paraId="771D3840" w14:textId="77777777" w:rsidR="00C801EB" w:rsidRPr="004034CD" w:rsidRDefault="00C801EB" w:rsidP="004034CD">
      <w:pPr>
        <w:pStyle w:val="BodyText"/>
      </w:pPr>
    </w:p>
    <w:p w14:paraId="660CB164" w14:textId="77777777" w:rsidR="004034CD" w:rsidRPr="004034CD" w:rsidRDefault="004034CD" w:rsidP="004034CD">
      <w:pPr>
        <w:pStyle w:val="BodyText"/>
        <w:rPr>
          <w:u w:val="single"/>
        </w:rPr>
      </w:pPr>
    </w:p>
    <w:p w14:paraId="7DEE30DF" w14:textId="55515853" w:rsidR="004034CD" w:rsidRDefault="004034CD" w:rsidP="004034CD">
      <w:pPr>
        <w:pStyle w:val="Heading1"/>
      </w:pPr>
      <w:bookmarkStart w:id="9" w:name="_Toc187249568"/>
      <w:r w:rsidRPr="004034CD">
        <w:t>Pollution incidents</w:t>
      </w:r>
      <w:bookmarkEnd w:id="9"/>
    </w:p>
    <w:p w14:paraId="2CB652DA" w14:textId="77777777" w:rsidR="004034CD" w:rsidRPr="004034CD" w:rsidRDefault="004034CD" w:rsidP="004034CD">
      <w:pPr>
        <w:pStyle w:val="BodyText"/>
        <w:rPr>
          <w:u w:val="single"/>
        </w:rPr>
      </w:pPr>
    </w:p>
    <w:p w14:paraId="35D5D1D9" w14:textId="75CC6680" w:rsidR="004034CD" w:rsidRDefault="004034CD" w:rsidP="004034CD">
      <w:pPr>
        <w:pStyle w:val="BodyText"/>
      </w:pPr>
      <w:r w:rsidRPr="004034CD">
        <w:t>Southern water has a very poor historic record on pollution incidents and breaches of license conditions, as demonstrated in the table below</w:t>
      </w:r>
      <w:r w:rsidR="00A11E3F">
        <w:t xml:space="preserve"> showing EA EPA ratings</w:t>
      </w:r>
      <w:r w:rsidRPr="004034CD">
        <w:t>:</w:t>
      </w:r>
    </w:p>
    <w:p w14:paraId="3633C604" w14:textId="77777777" w:rsidR="00F74340" w:rsidRPr="004034CD" w:rsidRDefault="00F74340" w:rsidP="004034CD">
      <w:pPr>
        <w:pStyle w:val="BodyText"/>
      </w:pPr>
    </w:p>
    <w:tbl>
      <w:tblPr>
        <w:tblStyle w:val="TableGrid"/>
        <w:tblW w:w="7230" w:type="dxa"/>
        <w:tblLook w:val="04A0" w:firstRow="1" w:lastRow="0" w:firstColumn="1" w:lastColumn="0" w:noHBand="0" w:noVBand="1"/>
      </w:tblPr>
      <w:tblGrid>
        <w:gridCol w:w="1457"/>
        <w:gridCol w:w="2434"/>
        <w:gridCol w:w="3339"/>
      </w:tblGrid>
      <w:tr w:rsidR="00A11E3F" w:rsidRPr="004034CD" w14:paraId="42D8CA87" w14:textId="77777777" w:rsidTr="00F74340">
        <w:trPr>
          <w:cnfStyle w:val="100000000000" w:firstRow="1" w:lastRow="0" w:firstColumn="0" w:lastColumn="0" w:oddVBand="0" w:evenVBand="0" w:oddHBand="0" w:evenHBand="0" w:firstRowFirstColumn="0" w:firstRowLastColumn="0" w:lastRowFirstColumn="0" w:lastRowLastColumn="0"/>
        </w:trPr>
        <w:tc>
          <w:tcPr>
            <w:tcW w:w="0" w:type="auto"/>
          </w:tcPr>
          <w:p w14:paraId="6B861CFD" w14:textId="3D1DF879" w:rsidR="00A11E3F" w:rsidRPr="004034CD" w:rsidRDefault="00A11E3F" w:rsidP="004034CD">
            <w:pPr>
              <w:pStyle w:val="BodyText"/>
              <w:rPr>
                <w:b/>
                <w:bCs/>
              </w:rPr>
            </w:pPr>
            <w:r>
              <w:rPr>
                <w:b/>
                <w:bCs/>
              </w:rPr>
              <w:t>Year</w:t>
            </w:r>
          </w:p>
        </w:tc>
        <w:tc>
          <w:tcPr>
            <w:tcW w:w="0" w:type="auto"/>
          </w:tcPr>
          <w:p w14:paraId="13130C9A" w14:textId="666D1FDA" w:rsidR="00A11E3F" w:rsidRPr="004034CD" w:rsidRDefault="00A11E3F" w:rsidP="004034CD">
            <w:pPr>
              <w:pStyle w:val="BodyText"/>
            </w:pPr>
            <w:r>
              <w:t>EPA Rating</w:t>
            </w:r>
          </w:p>
        </w:tc>
        <w:tc>
          <w:tcPr>
            <w:tcW w:w="3339" w:type="dxa"/>
          </w:tcPr>
          <w:p w14:paraId="5CD718A1" w14:textId="50C9B7C5" w:rsidR="00A11E3F" w:rsidRPr="004034CD" w:rsidRDefault="00A11E3F" w:rsidP="004034CD">
            <w:pPr>
              <w:pStyle w:val="BodyText"/>
            </w:pPr>
            <w:r>
              <w:t>Definition</w:t>
            </w:r>
          </w:p>
        </w:tc>
      </w:tr>
      <w:tr w:rsidR="004034CD" w:rsidRPr="004034CD" w14:paraId="138EDEE2" w14:textId="77777777" w:rsidTr="00F74340">
        <w:tc>
          <w:tcPr>
            <w:tcW w:w="0" w:type="auto"/>
            <w:hideMark/>
          </w:tcPr>
          <w:p w14:paraId="66E04EF7" w14:textId="77777777" w:rsidR="004034CD" w:rsidRPr="004034CD" w:rsidRDefault="004034CD" w:rsidP="004034CD">
            <w:pPr>
              <w:pStyle w:val="BodyText"/>
              <w:rPr>
                <w:b/>
                <w:bCs/>
              </w:rPr>
            </w:pPr>
            <w:r w:rsidRPr="004034CD">
              <w:rPr>
                <w:b/>
                <w:bCs/>
              </w:rPr>
              <w:t>2011</w:t>
            </w:r>
          </w:p>
        </w:tc>
        <w:tc>
          <w:tcPr>
            <w:tcW w:w="0" w:type="auto"/>
            <w:hideMark/>
          </w:tcPr>
          <w:p w14:paraId="46425177" w14:textId="77777777" w:rsidR="004034CD" w:rsidRPr="004034CD" w:rsidRDefault="004034CD" w:rsidP="004034CD">
            <w:pPr>
              <w:pStyle w:val="BodyText"/>
            </w:pPr>
            <w:r w:rsidRPr="004034CD">
              <w:t>2 stars</w:t>
            </w:r>
          </w:p>
        </w:tc>
        <w:tc>
          <w:tcPr>
            <w:tcW w:w="3339" w:type="dxa"/>
            <w:hideMark/>
          </w:tcPr>
          <w:p w14:paraId="793C261B" w14:textId="77777777" w:rsidR="004034CD" w:rsidRPr="004034CD" w:rsidRDefault="004034CD" w:rsidP="004034CD">
            <w:pPr>
              <w:pStyle w:val="BodyText"/>
            </w:pPr>
            <w:r w:rsidRPr="004034CD">
              <w:t>Below average company</w:t>
            </w:r>
          </w:p>
        </w:tc>
      </w:tr>
      <w:tr w:rsidR="004034CD" w:rsidRPr="004034CD" w14:paraId="4A67EEDF" w14:textId="77777777" w:rsidTr="00F74340">
        <w:tc>
          <w:tcPr>
            <w:tcW w:w="0" w:type="auto"/>
            <w:hideMark/>
          </w:tcPr>
          <w:p w14:paraId="6B094E5A" w14:textId="77777777" w:rsidR="004034CD" w:rsidRPr="004034CD" w:rsidRDefault="004034CD" w:rsidP="004034CD">
            <w:pPr>
              <w:pStyle w:val="BodyText"/>
              <w:rPr>
                <w:b/>
                <w:bCs/>
              </w:rPr>
            </w:pPr>
            <w:r w:rsidRPr="004034CD">
              <w:rPr>
                <w:b/>
                <w:bCs/>
              </w:rPr>
              <w:t>2012</w:t>
            </w:r>
          </w:p>
        </w:tc>
        <w:tc>
          <w:tcPr>
            <w:tcW w:w="0" w:type="auto"/>
            <w:hideMark/>
          </w:tcPr>
          <w:p w14:paraId="5F0FD31F" w14:textId="77777777" w:rsidR="004034CD" w:rsidRPr="004034CD" w:rsidRDefault="004034CD" w:rsidP="004034CD">
            <w:pPr>
              <w:pStyle w:val="BodyText"/>
            </w:pPr>
            <w:r w:rsidRPr="004034CD">
              <w:t>2 stars</w:t>
            </w:r>
          </w:p>
        </w:tc>
        <w:tc>
          <w:tcPr>
            <w:tcW w:w="3339" w:type="dxa"/>
            <w:hideMark/>
          </w:tcPr>
          <w:p w14:paraId="7D2332FC" w14:textId="77777777" w:rsidR="004034CD" w:rsidRPr="004034CD" w:rsidRDefault="004034CD" w:rsidP="004034CD">
            <w:pPr>
              <w:pStyle w:val="BodyText"/>
            </w:pPr>
            <w:r w:rsidRPr="004034CD">
              <w:t>Below average company</w:t>
            </w:r>
          </w:p>
        </w:tc>
      </w:tr>
      <w:tr w:rsidR="004034CD" w:rsidRPr="004034CD" w14:paraId="31DAE764" w14:textId="77777777" w:rsidTr="00F74340">
        <w:tc>
          <w:tcPr>
            <w:tcW w:w="0" w:type="auto"/>
            <w:hideMark/>
          </w:tcPr>
          <w:p w14:paraId="1043CEA3" w14:textId="77777777" w:rsidR="004034CD" w:rsidRPr="004034CD" w:rsidRDefault="004034CD" w:rsidP="004034CD">
            <w:pPr>
              <w:pStyle w:val="BodyText"/>
              <w:rPr>
                <w:b/>
                <w:bCs/>
              </w:rPr>
            </w:pPr>
            <w:r w:rsidRPr="004034CD">
              <w:rPr>
                <w:b/>
                <w:bCs/>
              </w:rPr>
              <w:t>2013</w:t>
            </w:r>
          </w:p>
        </w:tc>
        <w:tc>
          <w:tcPr>
            <w:tcW w:w="0" w:type="auto"/>
            <w:hideMark/>
          </w:tcPr>
          <w:p w14:paraId="145AECBA" w14:textId="77777777" w:rsidR="004034CD" w:rsidRPr="004034CD" w:rsidRDefault="004034CD" w:rsidP="004034CD">
            <w:pPr>
              <w:pStyle w:val="BodyText"/>
            </w:pPr>
            <w:r w:rsidRPr="004034CD">
              <w:t>1 star</w:t>
            </w:r>
          </w:p>
        </w:tc>
        <w:tc>
          <w:tcPr>
            <w:tcW w:w="3339" w:type="dxa"/>
            <w:hideMark/>
          </w:tcPr>
          <w:p w14:paraId="7F38672B" w14:textId="77777777" w:rsidR="004034CD" w:rsidRPr="004034CD" w:rsidRDefault="004034CD" w:rsidP="004034CD">
            <w:pPr>
              <w:pStyle w:val="BodyText"/>
            </w:pPr>
            <w:r w:rsidRPr="004034CD">
              <w:t>Poor performing company</w:t>
            </w:r>
          </w:p>
        </w:tc>
      </w:tr>
      <w:tr w:rsidR="004034CD" w:rsidRPr="004034CD" w14:paraId="55521AFD" w14:textId="77777777" w:rsidTr="00F74340">
        <w:tc>
          <w:tcPr>
            <w:tcW w:w="0" w:type="auto"/>
            <w:hideMark/>
          </w:tcPr>
          <w:p w14:paraId="35EBAA17" w14:textId="77777777" w:rsidR="004034CD" w:rsidRPr="004034CD" w:rsidRDefault="004034CD" w:rsidP="004034CD">
            <w:pPr>
              <w:pStyle w:val="BodyText"/>
              <w:rPr>
                <w:b/>
                <w:bCs/>
              </w:rPr>
            </w:pPr>
            <w:r w:rsidRPr="004034CD">
              <w:rPr>
                <w:b/>
                <w:bCs/>
              </w:rPr>
              <w:lastRenderedPageBreak/>
              <w:t>2014</w:t>
            </w:r>
          </w:p>
        </w:tc>
        <w:tc>
          <w:tcPr>
            <w:tcW w:w="0" w:type="auto"/>
            <w:hideMark/>
          </w:tcPr>
          <w:p w14:paraId="2CE90820" w14:textId="77777777" w:rsidR="004034CD" w:rsidRPr="004034CD" w:rsidRDefault="004034CD" w:rsidP="004034CD">
            <w:pPr>
              <w:pStyle w:val="BodyText"/>
            </w:pPr>
            <w:r w:rsidRPr="004034CD">
              <w:t>2 stars</w:t>
            </w:r>
          </w:p>
        </w:tc>
        <w:tc>
          <w:tcPr>
            <w:tcW w:w="3339" w:type="dxa"/>
            <w:hideMark/>
          </w:tcPr>
          <w:p w14:paraId="02E99051" w14:textId="77777777" w:rsidR="004034CD" w:rsidRPr="004034CD" w:rsidRDefault="004034CD" w:rsidP="004034CD">
            <w:pPr>
              <w:pStyle w:val="BodyText"/>
            </w:pPr>
            <w:r w:rsidRPr="004034CD">
              <w:t>Below average company</w:t>
            </w:r>
          </w:p>
        </w:tc>
      </w:tr>
      <w:tr w:rsidR="004034CD" w:rsidRPr="004034CD" w14:paraId="6EF83B0C" w14:textId="77777777" w:rsidTr="00F74340">
        <w:tc>
          <w:tcPr>
            <w:tcW w:w="0" w:type="auto"/>
            <w:hideMark/>
          </w:tcPr>
          <w:p w14:paraId="49E23228" w14:textId="77777777" w:rsidR="004034CD" w:rsidRPr="004034CD" w:rsidRDefault="004034CD" w:rsidP="004034CD">
            <w:pPr>
              <w:pStyle w:val="BodyText"/>
              <w:rPr>
                <w:b/>
                <w:bCs/>
              </w:rPr>
            </w:pPr>
            <w:r w:rsidRPr="004034CD">
              <w:rPr>
                <w:b/>
                <w:bCs/>
              </w:rPr>
              <w:t>2015</w:t>
            </w:r>
          </w:p>
        </w:tc>
        <w:tc>
          <w:tcPr>
            <w:tcW w:w="0" w:type="auto"/>
            <w:hideMark/>
          </w:tcPr>
          <w:p w14:paraId="05AAF5A3" w14:textId="77777777" w:rsidR="004034CD" w:rsidRPr="004034CD" w:rsidRDefault="004034CD" w:rsidP="004034CD">
            <w:pPr>
              <w:pStyle w:val="BodyText"/>
            </w:pPr>
            <w:r w:rsidRPr="004034CD">
              <w:t>3 stars</w:t>
            </w:r>
          </w:p>
        </w:tc>
        <w:tc>
          <w:tcPr>
            <w:tcW w:w="3339" w:type="dxa"/>
            <w:hideMark/>
          </w:tcPr>
          <w:p w14:paraId="0A9E1E2C" w14:textId="77777777" w:rsidR="004034CD" w:rsidRPr="004034CD" w:rsidRDefault="004034CD" w:rsidP="004034CD">
            <w:pPr>
              <w:pStyle w:val="BodyText"/>
            </w:pPr>
            <w:r w:rsidRPr="004034CD">
              <w:t>Above average company</w:t>
            </w:r>
          </w:p>
        </w:tc>
      </w:tr>
      <w:tr w:rsidR="004034CD" w:rsidRPr="004034CD" w14:paraId="3B93AD0C" w14:textId="77777777" w:rsidTr="00F74340">
        <w:tc>
          <w:tcPr>
            <w:tcW w:w="0" w:type="auto"/>
            <w:hideMark/>
          </w:tcPr>
          <w:p w14:paraId="43FE3CFC" w14:textId="77777777" w:rsidR="004034CD" w:rsidRPr="004034CD" w:rsidRDefault="004034CD" w:rsidP="004034CD">
            <w:pPr>
              <w:pStyle w:val="BodyText"/>
              <w:rPr>
                <w:b/>
                <w:bCs/>
              </w:rPr>
            </w:pPr>
            <w:r w:rsidRPr="004034CD">
              <w:rPr>
                <w:b/>
                <w:bCs/>
              </w:rPr>
              <w:t>2016</w:t>
            </w:r>
          </w:p>
        </w:tc>
        <w:tc>
          <w:tcPr>
            <w:tcW w:w="0" w:type="auto"/>
            <w:hideMark/>
          </w:tcPr>
          <w:p w14:paraId="0B7672AE" w14:textId="77777777" w:rsidR="004034CD" w:rsidRPr="004034CD" w:rsidRDefault="004034CD" w:rsidP="004034CD">
            <w:pPr>
              <w:pStyle w:val="BodyText"/>
            </w:pPr>
            <w:r w:rsidRPr="004034CD">
              <w:t>3 stars</w:t>
            </w:r>
          </w:p>
        </w:tc>
        <w:tc>
          <w:tcPr>
            <w:tcW w:w="3339" w:type="dxa"/>
            <w:hideMark/>
          </w:tcPr>
          <w:p w14:paraId="5A1A3C99" w14:textId="77777777" w:rsidR="004034CD" w:rsidRPr="004034CD" w:rsidRDefault="004034CD" w:rsidP="004034CD">
            <w:pPr>
              <w:pStyle w:val="BodyText"/>
            </w:pPr>
            <w:r w:rsidRPr="004034CD">
              <w:t>Good company</w:t>
            </w:r>
          </w:p>
        </w:tc>
      </w:tr>
      <w:tr w:rsidR="004034CD" w:rsidRPr="004034CD" w14:paraId="427FD637" w14:textId="77777777" w:rsidTr="00F74340">
        <w:tc>
          <w:tcPr>
            <w:tcW w:w="0" w:type="auto"/>
            <w:hideMark/>
          </w:tcPr>
          <w:p w14:paraId="2B627BAE" w14:textId="77777777" w:rsidR="004034CD" w:rsidRPr="004034CD" w:rsidRDefault="004034CD" w:rsidP="004034CD">
            <w:pPr>
              <w:pStyle w:val="BodyText"/>
              <w:rPr>
                <w:b/>
                <w:bCs/>
              </w:rPr>
            </w:pPr>
            <w:r w:rsidRPr="004034CD">
              <w:rPr>
                <w:b/>
                <w:bCs/>
              </w:rPr>
              <w:t>2017</w:t>
            </w:r>
          </w:p>
        </w:tc>
        <w:tc>
          <w:tcPr>
            <w:tcW w:w="0" w:type="auto"/>
            <w:hideMark/>
          </w:tcPr>
          <w:p w14:paraId="7C2F7F46" w14:textId="77777777" w:rsidR="004034CD" w:rsidRPr="004034CD" w:rsidRDefault="004034CD" w:rsidP="004034CD">
            <w:pPr>
              <w:pStyle w:val="BodyText"/>
            </w:pPr>
            <w:r w:rsidRPr="004034CD">
              <w:t>3 stars</w:t>
            </w:r>
          </w:p>
        </w:tc>
        <w:tc>
          <w:tcPr>
            <w:tcW w:w="3339" w:type="dxa"/>
            <w:hideMark/>
          </w:tcPr>
          <w:p w14:paraId="4532A20E" w14:textId="77777777" w:rsidR="004034CD" w:rsidRPr="004034CD" w:rsidRDefault="004034CD" w:rsidP="004034CD">
            <w:pPr>
              <w:pStyle w:val="BodyText"/>
            </w:pPr>
            <w:r w:rsidRPr="004034CD">
              <w:t>Good company</w:t>
            </w:r>
          </w:p>
        </w:tc>
      </w:tr>
      <w:tr w:rsidR="004034CD" w:rsidRPr="004034CD" w14:paraId="582648F1" w14:textId="77777777" w:rsidTr="00F74340">
        <w:tc>
          <w:tcPr>
            <w:tcW w:w="0" w:type="auto"/>
            <w:hideMark/>
          </w:tcPr>
          <w:p w14:paraId="3D49E1BC" w14:textId="77777777" w:rsidR="004034CD" w:rsidRPr="004034CD" w:rsidRDefault="004034CD" w:rsidP="004034CD">
            <w:pPr>
              <w:pStyle w:val="BodyText"/>
              <w:rPr>
                <w:b/>
                <w:bCs/>
              </w:rPr>
            </w:pPr>
            <w:r w:rsidRPr="004034CD">
              <w:rPr>
                <w:b/>
                <w:bCs/>
              </w:rPr>
              <w:t>2018</w:t>
            </w:r>
          </w:p>
        </w:tc>
        <w:tc>
          <w:tcPr>
            <w:tcW w:w="0" w:type="auto"/>
            <w:hideMark/>
          </w:tcPr>
          <w:p w14:paraId="5665B666" w14:textId="77777777" w:rsidR="004034CD" w:rsidRPr="004034CD" w:rsidRDefault="004034CD" w:rsidP="004034CD">
            <w:pPr>
              <w:pStyle w:val="BodyText"/>
            </w:pPr>
            <w:r w:rsidRPr="004034CD">
              <w:t>2 stars</w:t>
            </w:r>
          </w:p>
        </w:tc>
        <w:tc>
          <w:tcPr>
            <w:tcW w:w="3339" w:type="dxa"/>
            <w:hideMark/>
          </w:tcPr>
          <w:p w14:paraId="17133D60" w14:textId="77777777" w:rsidR="004034CD" w:rsidRPr="004034CD" w:rsidRDefault="004034CD" w:rsidP="004034CD">
            <w:pPr>
              <w:pStyle w:val="BodyText"/>
            </w:pPr>
            <w:r w:rsidRPr="004034CD">
              <w:t>Company requires improvement</w:t>
            </w:r>
          </w:p>
        </w:tc>
      </w:tr>
      <w:tr w:rsidR="004034CD" w:rsidRPr="004034CD" w14:paraId="53B6EC68" w14:textId="77777777" w:rsidTr="00F74340">
        <w:tc>
          <w:tcPr>
            <w:tcW w:w="0" w:type="auto"/>
            <w:hideMark/>
          </w:tcPr>
          <w:p w14:paraId="4FC920D0" w14:textId="77777777" w:rsidR="004034CD" w:rsidRPr="004034CD" w:rsidRDefault="004034CD" w:rsidP="004034CD">
            <w:pPr>
              <w:pStyle w:val="BodyText"/>
              <w:rPr>
                <w:b/>
                <w:bCs/>
              </w:rPr>
            </w:pPr>
            <w:r w:rsidRPr="004034CD">
              <w:rPr>
                <w:b/>
                <w:bCs/>
              </w:rPr>
              <w:t>2019</w:t>
            </w:r>
          </w:p>
        </w:tc>
        <w:tc>
          <w:tcPr>
            <w:tcW w:w="0" w:type="auto"/>
            <w:hideMark/>
          </w:tcPr>
          <w:p w14:paraId="71FCAE8A" w14:textId="77777777" w:rsidR="004034CD" w:rsidRPr="004034CD" w:rsidRDefault="004034CD" w:rsidP="004034CD">
            <w:pPr>
              <w:pStyle w:val="BodyText"/>
            </w:pPr>
            <w:r w:rsidRPr="004034CD">
              <w:t>1 star</w:t>
            </w:r>
          </w:p>
        </w:tc>
        <w:tc>
          <w:tcPr>
            <w:tcW w:w="3339" w:type="dxa"/>
            <w:hideMark/>
          </w:tcPr>
          <w:p w14:paraId="05C0E251" w14:textId="77777777" w:rsidR="004034CD" w:rsidRPr="004034CD" w:rsidRDefault="004034CD" w:rsidP="004034CD">
            <w:pPr>
              <w:pStyle w:val="BodyText"/>
            </w:pPr>
            <w:r w:rsidRPr="004034CD">
              <w:t>Poor performing company</w:t>
            </w:r>
          </w:p>
        </w:tc>
      </w:tr>
      <w:tr w:rsidR="004034CD" w:rsidRPr="004034CD" w14:paraId="3E497226" w14:textId="77777777" w:rsidTr="00F74340">
        <w:tc>
          <w:tcPr>
            <w:tcW w:w="0" w:type="auto"/>
            <w:hideMark/>
          </w:tcPr>
          <w:p w14:paraId="2B98275A" w14:textId="77777777" w:rsidR="004034CD" w:rsidRPr="004034CD" w:rsidRDefault="004034CD" w:rsidP="004034CD">
            <w:pPr>
              <w:pStyle w:val="BodyText"/>
              <w:rPr>
                <w:b/>
                <w:bCs/>
              </w:rPr>
            </w:pPr>
            <w:r w:rsidRPr="004034CD">
              <w:rPr>
                <w:b/>
                <w:bCs/>
              </w:rPr>
              <w:t>2020</w:t>
            </w:r>
          </w:p>
        </w:tc>
        <w:tc>
          <w:tcPr>
            <w:tcW w:w="0" w:type="auto"/>
            <w:hideMark/>
          </w:tcPr>
          <w:p w14:paraId="072A6BCF" w14:textId="77777777" w:rsidR="004034CD" w:rsidRPr="004034CD" w:rsidRDefault="004034CD" w:rsidP="004034CD">
            <w:pPr>
              <w:pStyle w:val="BodyText"/>
            </w:pPr>
            <w:r w:rsidRPr="004034CD">
              <w:t>2 stars</w:t>
            </w:r>
          </w:p>
        </w:tc>
        <w:tc>
          <w:tcPr>
            <w:tcW w:w="3339" w:type="dxa"/>
            <w:hideMark/>
          </w:tcPr>
          <w:p w14:paraId="01769BF3" w14:textId="77777777" w:rsidR="004034CD" w:rsidRPr="004034CD" w:rsidRDefault="004034CD" w:rsidP="004034CD">
            <w:pPr>
              <w:pStyle w:val="BodyText"/>
            </w:pPr>
            <w:r w:rsidRPr="004034CD">
              <w:t>Company requires improvement</w:t>
            </w:r>
          </w:p>
        </w:tc>
      </w:tr>
      <w:tr w:rsidR="004034CD" w:rsidRPr="004034CD" w14:paraId="5AF99B1A" w14:textId="77777777" w:rsidTr="00F74340">
        <w:tc>
          <w:tcPr>
            <w:tcW w:w="0" w:type="auto"/>
            <w:hideMark/>
          </w:tcPr>
          <w:p w14:paraId="22ACF07A" w14:textId="77777777" w:rsidR="004034CD" w:rsidRPr="004034CD" w:rsidRDefault="004034CD" w:rsidP="004034CD">
            <w:pPr>
              <w:pStyle w:val="BodyText"/>
              <w:rPr>
                <w:b/>
                <w:bCs/>
              </w:rPr>
            </w:pPr>
            <w:r w:rsidRPr="004034CD">
              <w:rPr>
                <w:b/>
                <w:bCs/>
              </w:rPr>
              <w:t>2021</w:t>
            </w:r>
          </w:p>
        </w:tc>
        <w:tc>
          <w:tcPr>
            <w:tcW w:w="0" w:type="auto"/>
            <w:hideMark/>
          </w:tcPr>
          <w:p w14:paraId="5F924100" w14:textId="77777777" w:rsidR="004034CD" w:rsidRPr="004034CD" w:rsidRDefault="004034CD" w:rsidP="004034CD">
            <w:pPr>
              <w:pStyle w:val="BodyText"/>
            </w:pPr>
            <w:r w:rsidRPr="004034CD">
              <w:t>1 star</w:t>
            </w:r>
          </w:p>
        </w:tc>
        <w:tc>
          <w:tcPr>
            <w:tcW w:w="3339" w:type="dxa"/>
            <w:hideMark/>
          </w:tcPr>
          <w:p w14:paraId="08D47E30" w14:textId="77777777" w:rsidR="004034CD" w:rsidRPr="004034CD" w:rsidRDefault="004034CD" w:rsidP="004034CD">
            <w:pPr>
              <w:pStyle w:val="BodyText"/>
            </w:pPr>
            <w:r w:rsidRPr="004034CD">
              <w:t>Poor performing company</w:t>
            </w:r>
          </w:p>
        </w:tc>
      </w:tr>
      <w:tr w:rsidR="00D01812" w:rsidRPr="004034CD" w14:paraId="2E23D481" w14:textId="77777777" w:rsidTr="00F74340">
        <w:tc>
          <w:tcPr>
            <w:tcW w:w="0" w:type="auto"/>
          </w:tcPr>
          <w:p w14:paraId="5F07B64F" w14:textId="0CBFEAC5" w:rsidR="00D01812" w:rsidRPr="004034CD" w:rsidRDefault="00D01812" w:rsidP="004034CD">
            <w:pPr>
              <w:pStyle w:val="BodyText"/>
              <w:rPr>
                <w:b/>
                <w:bCs/>
              </w:rPr>
            </w:pPr>
            <w:r>
              <w:rPr>
                <w:b/>
                <w:bCs/>
              </w:rPr>
              <w:t>2022</w:t>
            </w:r>
          </w:p>
        </w:tc>
        <w:tc>
          <w:tcPr>
            <w:tcW w:w="0" w:type="auto"/>
          </w:tcPr>
          <w:p w14:paraId="45E9E398" w14:textId="619B5FD8" w:rsidR="00D01812" w:rsidRPr="004034CD" w:rsidRDefault="00D01812" w:rsidP="004034CD">
            <w:pPr>
              <w:pStyle w:val="BodyText"/>
            </w:pPr>
            <w:r>
              <w:t>2 stars</w:t>
            </w:r>
          </w:p>
        </w:tc>
        <w:tc>
          <w:tcPr>
            <w:tcW w:w="3339" w:type="dxa"/>
          </w:tcPr>
          <w:p w14:paraId="38CD1177" w14:textId="4E1E859E" w:rsidR="00D01812" w:rsidRPr="004034CD" w:rsidRDefault="00D01812" w:rsidP="004034CD">
            <w:pPr>
              <w:pStyle w:val="BodyText"/>
            </w:pPr>
            <w:r>
              <w:t>Company requires improvement</w:t>
            </w:r>
          </w:p>
        </w:tc>
      </w:tr>
      <w:tr w:rsidR="00557C96" w:rsidRPr="004034CD" w14:paraId="25467658" w14:textId="77777777" w:rsidTr="00F74340">
        <w:tc>
          <w:tcPr>
            <w:tcW w:w="0" w:type="auto"/>
          </w:tcPr>
          <w:p w14:paraId="023267F9" w14:textId="427F56F5" w:rsidR="00557C96" w:rsidRDefault="00557C96" w:rsidP="004034CD">
            <w:pPr>
              <w:pStyle w:val="BodyText"/>
              <w:rPr>
                <w:b/>
                <w:bCs/>
              </w:rPr>
            </w:pPr>
            <w:r>
              <w:rPr>
                <w:b/>
                <w:bCs/>
              </w:rPr>
              <w:t>2023</w:t>
            </w:r>
          </w:p>
        </w:tc>
        <w:tc>
          <w:tcPr>
            <w:tcW w:w="0" w:type="auto"/>
          </w:tcPr>
          <w:p w14:paraId="62CB706E" w14:textId="4CCF8A87" w:rsidR="00557C96" w:rsidRDefault="00557C96" w:rsidP="004034CD">
            <w:pPr>
              <w:pStyle w:val="BodyText"/>
            </w:pPr>
            <w:r>
              <w:t>2 stars</w:t>
            </w:r>
          </w:p>
        </w:tc>
        <w:tc>
          <w:tcPr>
            <w:tcW w:w="3339" w:type="dxa"/>
          </w:tcPr>
          <w:p w14:paraId="31A515EA" w14:textId="06933E2F" w:rsidR="00557C96" w:rsidRDefault="00557C96" w:rsidP="004034CD">
            <w:pPr>
              <w:pStyle w:val="BodyText"/>
            </w:pPr>
            <w:r>
              <w:t>Company requires improvement</w:t>
            </w:r>
          </w:p>
        </w:tc>
      </w:tr>
    </w:tbl>
    <w:p w14:paraId="34C01FF8" w14:textId="77777777" w:rsidR="004034CD" w:rsidRPr="004034CD" w:rsidRDefault="004034CD" w:rsidP="004034CD">
      <w:pPr>
        <w:pStyle w:val="BodyText"/>
      </w:pPr>
    </w:p>
    <w:p w14:paraId="499739AC" w14:textId="4B0524B0" w:rsidR="004034CD" w:rsidRDefault="00234F15" w:rsidP="004034CD">
      <w:pPr>
        <w:pStyle w:val="BodyText"/>
      </w:pPr>
      <w:r>
        <w:t>T</w:t>
      </w:r>
      <w:r w:rsidR="004034CD" w:rsidRPr="004034CD">
        <w:t xml:space="preserve">his performance has </w:t>
      </w:r>
      <w:r w:rsidR="00557C96">
        <w:t>to date, at best, stabilised</w:t>
      </w:r>
      <w:r w:rsidR="004034CD" w:rsidRPr="004034CD">
        <w:t>. Neither the ICEG nor the company view this as</w:t>
      </w:r>
      <w:r w:rsidR="002100A0">
        <w:t xml:space="preserve"> </w:t>
      </w:r>
      <w:proofErr w:type="gramStart"/>
      <w:r w:rsidR="002100A0">
        <w:t xml:space="preserve">an </w:t>
      </w:r>
      <w:r w:rsidR="004034CD" w:rsidRPr="004034CD">
        <w:t xml:space="preserve"> acceptable</w:t>
      </w:r>
      <w:proofErr w:type="gramEnd"/>
      <w:r w:rsidR="000A17BB">
        <w:t xml:space="preserve"> </w:t>
      </w:r>
      <w:r w:rsidR="002100A0">
        <w:t xml:space="preserve">future outcome </w:t>
      </w:r>
      <w:r w:rsidR="000A17BB">
        <w:t xml:space="preserve">– the company’s </w:t>
      </w:r>
      <w:r w:rsidR="00061F20">
        <w:t>improvement plan however aims to secure 3 stars in 2024 or 2025</w:t>
      </w:r>
      <w:r w:rsidR="004034CD" w:rsidRPr="004034CD">
        <w:t>. The ICEG agree</w:t>
      </w:r>
      <w:r w:rsidR="00557C96">
        <w:t>d</w:t>
      </w:r>
      <w:r w:rsidR="004034CD" w:rsidRPr="004034CD">
        <w:t xml:space="preserve"> new quarterly management information with Southern Water </w:t>
      </w:r>
      <w:r w:rsidR="000A17BB">
        <w:t xml:space="preserve">and seeks to </w:t>
      </w:r>
      <w:r w:rsidR="00557C96">
        <w:t>monitor</w:t>
      </w:r>
      <w:r w:rsidR="004034CD" w:rsidRPr="004034CD">
        <w:t xml:space="preserve"> this performance closely.</w:t>
      </w:r>
    </w:p>
    <w:p w14:paraId="35DDF25C" w14:textId="77777777" w:rsidR="000A17BB" w:rsidRDefault="000A17BB" w:rsidP="004034CD">
      <w:pPr>
        <w:pStyle w:val="BodyText"/>
      </w:pPr>
    </w:p>
    <w:p w14:paraId="54DB0E19" w14:textId="23BA2D73" w:rsidR="000A17BB" w:rsidRDefault="000A17BB" w:rsidP="000A17BB">
      <w:pPr>
        <w:pStyle w:val="BodyText"/>
      </w:pPr>
      <w:r>
        <w:t>It was disappointing that process failures led to</w:t>
      </w:r>
      <w:r w:rsidR="00234F15">
        <w:t xml:space="preserve"> unacceptable delays in</w:t>
      </w:r>
      <w:r>
        <w:t xml:space="preserve"> reporting a few important incidents. We have sought assurance that lessons are being learnt and been given </w:t>
      </w:r>
      <w:r w:rsidR="00061F20">
        <w:t>undertakings</w:t>
      </w:r>
      <w:r>
        <w:t xml:space="preserve"> that this is the case</w:t>
      </w:r>
      <w:r w:rsidR="00061F20">
        <w:t xml:space="preserve"> – we will continue to watch this area closely</w:t>
      </w:r>
      <w:r>
        <w:t>.</w:t>
      </w:r>
    </w:p>
    <w:p w14:paraId="5387E17A" w14:textId="77777777" w:rsidR="00AD4C71" w:rsidRDefault="00AD4C71" w:rsidP="000A17BB">
      <w:pPr>
        <w:pStyle w:val="BodyText"/>
      </w:pPr>
    </w:p>
    <w:p w14:paraId="1F9823D5" w14:textId="76F397C4" w:rsidR="00AD4C71" w:rsidRDefault="00AD4C71" w:rsidP="00AD4C71">
      <w:pPr>
        <w:pStyle w:val="BodyText"/>
      </w:pPr>
      <w:r w:rsidRPr="004034CD">
        <w:t>The issue of sewer overflows is one with a huge public profile</w:t>
      </w:r>
      <w:r w:rsidR="005C58E5">
        <w:t>, and one where there are statutory obligations on water companies</w:t>
      </w:r>
      <w:r w:rsidRPr="004034CD">
        <w:t xml:space="preserve">. While ultimately what matters is the state of the environment, and action on sewer overflows needs to be prioritised and judged against action on other pollution sources such as </w:t>
      </w:r>
      <w:r>
        <w:t xml:space="preserve">treated wastewater, </w:t>
      </w:r>
      <w:r w:rsidRPr="004034CD">
        <w:t xml:space="preserve">land management and run off from roads and industrial estates, all agree that </w:t>
      </w:r>
      <w:r w:rsidR="00F26235">
        <w:t xml:space="preserve">the number and frequency of </w:t>
      </w:r>
      <w:r w:rsidRPr="004034CD">
        <w:t>sewer overflows need</w:t>
      </w:r>
      <w:r w:rsidR="00F26235">
        <w:t>s</w:t>
      </w:r>
      <w:r w:rsidRPr="004034CD">
        <w:t xml:space="preserve"> to fall.</w:t>
      </w:r>
    </w:p>
    <w:p w14:paraId="2AA36DFC" w14:textId="77777777" w:rsidR="00AD4C71" w:rsidRPr="004034CD" w:rsidRDefault="00AD4C71" w:rsidP="00AD4C71">
      <w:pPr>
        <w:pStyle w:val="BodyText"/>
      </w:pPr>
    </w:p>
    <w:p w14:paraId="5ABF1A96" w14:textId="77777777" w:rsidR="00AD4C71" w:rsidRDefault="00AD4C71" w:rsidP="00AD4C71">
      <w:pPr>
        <w:pStyle w:val="BodyText"/>
      </w:pPr>
      <w:r w:rsidRPr="004034CD">
        <w:t xml:space="preserve">The ICEG has </w:t>
      </w:r>
      <w:r>
        <w:t xml:space="preserve">been monitoring </w:t>
      </w:r>
      <w:r w:rsidRPr="004034CD">
        <w:t>Southern Water</w:t>
      </w:r>
      <w:r>
        <w:t>’s</w:t>
      </w:r>
      <w:r w:rsidRPr="004034CD">
        <w:t xml:space="preserve"> glide path towards the medium-term aim of significant reduction in spills by 2030, and on the programme of actions to achieve this and the longer-term objectives out to 2050. </w:t>
      </w:r>
    </w:p>
    <w:p w14:paraId="706BD59D" w14:textId="77777777" w:rsidR="00AD4C71" w:rsidRPr="004034CD" w:rsidRDefault="00AD4C71" w:rsidP="00AD4C71">
      <w:pPr>
        <w:pStyle w:val="BodyText"/>
      </w:pPr>
    </w:p>
    <w:p w14:paraId="22C4A1B4" w14:textId="1D69797C" w:rsidR="005C58E5" w:rsidRPr="002100A0" w:rsidRDefault="00AD4C71" w:rsidP="005C58E5">
      <w:pPr>
        <w:pStyle w:val="NormalWeb"/>
        <w:shd w:val="clear" w:color="auto" w:fill="FFFFFF"/>
        <w:spacing w:before="0" w:beforeAutospacing="0" w:after="0" w:afterAutospacing="0"/>
        <w:textAlignment w:val="baseline"/>
        <w:rPr>
          <w:rFonts w:ascii="Avenir Next LT Pro" w:hAnsi="Avenir Next LT Pro" w:cs="Calibri"/>
          <w:color w:val="242424"/>
          <w:sz w:val="20"/>
          <w:szCs w:val="20"/>
        </w:rPr>
      </w:pPr>
      <w:r w:rsidRPr="002100A0">
        <w:rPr>
          <w:rFonts w:ascii="Avenir Next LT Pro" w:hAnsi="Avenir Next LT Pro"/>
          <w:sz w:val="20"/>
          <w:szCs w:val="20"/>
        </w:rPr>
        <w:t>We recognise of course that annual or within year figures on number of overflows will be heavily weather dependent but aim to be able to assure ourselves whether the underlying trend is on track.</w:t>
      </w:r>
      <w:r w:rsidR="005C58E5" w:rsidRPr="002100A0">
        <w:rPr>
          <w:rFonts w:ascii="Avenir Next LT Pro" w:hAnsi="Avenir Next LT Pro" w:cs="Calibri"/>
          <w:color w:val="000000"/>
          <w:sz w:val="20"/>
          <w:szCs w:val="20"/>
          <w:bdr w:val="none" w:sz="0" w:space="0" w:color="auto" w:frame="1"/>
        </w:rPr>
        <w:t xml:space="preserve"> While 2024 has not been an easy year for </w:t>
      </w:r>
      <w:proofErr w:type="gramStart"/>
      <w:r w:rsidR="005C58E5" w:rsidRPr="002100A0">
        <w:rPr>
          <w:rFonts w:ascii="Avenir Next LT Pro" w:hAnsi="Avenir Next LT Pro" w:cs="Calibri"/>
          <w:color w:val="000000"/>
          <w:sz w:val="20"/>
          <w:szCs w:val="20"/>
          <w:bdr w:val="none" w:sz="0" w:space="0" w:color="auto" w:frame="1"/>
        </w:rPr>
        <w:t>a number of</w:t>
      </w:r>
      <w:proofErr w:type="gramEnd"/>
      <w:r w:rsidR="005C58E5" w:rsidRPr="002100A0">
        <w:rPr>
          <w:rFonts w:ascii="Avenir Next LT Pro" w:hAnsi="Avenir Next LT Pro" w:cs="Calibri"/>
          <w:color w:val="000000"/>
          <w:sz w:val="20"/>
          <w:szCs w:val="20"/>
          <w:bdr w:val="none" w:sz="0" w:space="0" w:color="auto" w:frame="1"/>
        </w:rPr>
        <w:t xml:space="preserve"> companies, with some adverse weather, Southern’s regulatory performance seems likely to have stalled over the year as a whole, or even deteriorated. There are also indications that the condition of some of their assets has been allowed to deteriorate excessively.  </w:t>
      </w:r>
    </w:p>
    <w:p w14:paraId="6C7C327B" w14:textId="77777777" w:rsidR="005C58E5" w:rsidRPr="002100A0" w:rsidRDefault="005C58E5" w:rsidP="005C58E5">
      <w:pPr>
        <w:pStyle w:val="NormalWeb"/>
        <w:shd w:val="clear" w:color="auto" w:fill="FFFFFF"/>
        <w:spacing w:before="0" w:beforeAutospacing="0" w:after="0" w:afterAutospacing="0"/>
        <w:textAlignment w:val="baseline"/>
        <w:rPr>
          <w:rFonts w:ascii="Avenir Next LT Pro" w:hAnsi="Avenir Next LT Pro" w:cs="Calibri"/>
          <w:color w:val="242424"/>
          <w:sz w:val="20"/>
          <w:szCs w:val="20"/>
        </w:rPr>
      </w:pPr>
      <w:r w:rsidRPr="002100A0">
        <w:rPr>
          <w:rFonts w:ascii="Avenir Next LT Pro" w:hAnsi="Avenir Next LT Pro" w:cs="Calibri"/>
          <w:color w:val="000000"/>
          <w:sz w:val="20"/>
          <w:szCs w:val="20"/>
          <w:bdr w:val="none" w:sz="0" w:space="0" w:color="auto" w:frame="1"/>
        </w:rPr>
        <w:t> </w:t>
      </w:r>
    </w:p>
    <w:p w14:paraId="73A98C72" w14:textId="77777777" w:rsidR="005C58E5" w:rsidRPr="002100A0" w:rsidRDefault="005C58E5" w:rsidP="005C58E5">
      <w:pPr>
        <w:pStyle w:val="NormalWeb"/>
        <w:shd w:val="clear" w:color="auto" w:fill="FFFFFF"/>
        <w:spacing w:before="0" w:beforeAutospacing="0" w:after="0" w:afterAutospacing="0"/>
        <w:textAlignment w:val="baseline"/>
        <w:rPr>
          <w:rFonts w:ascii="Avenir Next LT Pro" w:hAnsi="Avenir Next LT Pro" w:cs="Calibri"/>
          <w:color w:val="242424"/>
          <w:sz w:val="20"/>
          <w:szCs w:val="20"/>
        </w:rPr>
      </w:pPr>
      <w:r w:rsidRPr="002100A0">
        <w:rPr>
          <w:rFonts w:ascii="Avenir Next LT Pro" w:hAnsi="Avenir Next LT Pro" w:cs="Calibri"/>
          <w:color w:val="000000"/>
          <w:sz w:val="20"/>
          <w:szCs w:val="20"/>
          <w:bdr w:val="none" w:sz="0" w:space="0" w:color="auto" w:frame="1"/>
        </w:rPr>
        <w:t xml:space="preserve">We are encouraged by the quality of Southern's root cause analysis, but the acid test of this - and their wider culture change programme - will be demonstrable improvements in pollution incidents and in plant operation. This has, we have to say, yet fully to materialise - and further improvement will be needed if Southern are to meet their aspiration of a 3-star rating in </w:t>
      </w:r>
      <w:proofErr w:type="gramStart"/>
      <w:r w:rsidRPr="002100A0">
        <w:rPr>
          <w:rFonts w:ascii="Avenir Next LT Pro" w:hAnsi="Avenir Next LT Pro" w:cs="Calibri"/>
          <w:color w:val="000000"/>
          <w:sz w:val="20"/>
          <w:szCs w:val="20"/>
          <w:bdr w:val="none" w:sz="0" w:space="0" w:color="auto" w:frame="1"/>
        </w:rPr>
        <w:t>2025</w:t>
      </w:r>
      <w:proofErr w:type="gramEnd"/>
    </w:p>
    <w:p w14:paraId="73EEE22A" w14:textId="4A7DE3AE" w:rsidR="00AD4C71" w:rsidRDefault="00AD4C71" w:rsidP="00AD4C71">
      <w:pPr>
        <w:pStyle w:val="BodyText"/>
      </w:pPr>
    </w:p>
    <w:p w14:paraId="501F2C71" w14:textId="77777777" w:rsidR="00AD4C71" w:rsidRPr="004034CD" w:rsidRDefault="00AD4C71" w:rsidP="00AD4C71">
      <w:pPr>
        <w:pStyle w:val="BodyText"/>
      </w:pPr>
      <w:r>
        <w:t xml:space="preserve">On balance there is a lot of good work, though the jury is out on whether this will be </w:t>
      </w:r>
      <w:proofErr w:type="gramStart"/>
      <w:r>
        <w:t>sufficient</w:t>
      </w:r>
      <w:proofErr w:type="gramEnd"/>
    </w:p>
    <w:p w14:paraId="5A26DA78" w14:textId="77777777" w:rsidR="00AD4C71" w:rsidRPr="004034CD" w:rsidRDefault="00AD4C71" w:rsidP="000A17BB">
      <w:pPr>
        <w:pStyle w:val="BodyText"/>
      </w:pPr>
    </w:p>
    <w:p w14:paraId="58C5E261" w14:textId="3A21865C" w:rsidR="004034CD" w:rsidRDefault="004034CD" w:rsidP="004034CD">
      <w:pPr>
        <w:pStyle w:val="Heading1"/>
      </w:pPr>
      <w:bookmarkStart w:id="10" w:name="_Toc187249569"/>
      <w:r w:rsidRPr="004034CD">
        <w:t xml:space="preserve">Core </w:t>
      </w:r>
      <w:proofErr w:type="gramStart"/>
      <w:r w:rsidRPr="004034CD">
        <w:t>processes</w:t>
      </w:r>
      <w:bookmarkEnd w:id="10"/>
      <w:proofErr w:type="gramEnd"/>
    </w:p>
    <w:p w14:paraId="1E0BF4B5" w14:textId="77777777" w:rsidR="004034CD" w:rsidRPr="004034CD" w:rsidRDefault="004034CD" w:rsidP="004034CD">
      <w:pPr>
        <w:pStyle w:val="BodyText"/>
        <w:rPr>
          <w:u w:val="single"/>
        </w:rPr>
      </w:pPr>
    </w:p>
    <w:p w14:paraId="3A8A7882" w14:textId="184A4ACA" w:rsidR="004034CD" w:rsidRDefault="004034CD" w:rsidP="004034CD">
      <w:pPr>
        <w:pStyle w:val="BodyText"/>
      </w:pPr>
      <w:r w:rsidRPr="004034CD">
        <w:t xml:space="preserve">The ICEG have had what we found to be valuable discussions with Southern Water on </w:t>
      </w:r>
      <w:proofErr w:type="gramStart"/>
      <w:r w:rsidRPr="004034CD">
        <w:t>a number of</w:t>
      </w:r>
      <w:proofErr w:type="gramEnd"/>
      <w:r w:rsidRPr="004034CD">
        <w:t xml:space="preserve"> key </w:t>
      </w:r>
      <w:r w:rsidR="00CD3403">
        <w:t xml:space="preserve">regulatory returns, such as </w:t>
      </w:r>
      <w:r w:rsidRPr="004034CD">
        <w:t xml:space="preserve">relevant elements of PR24. </w:t>
      </w:r>
    </w:p>
    <w:p w14:paraId="438A27CB" w14:textId="77777777" w:rsidR="00CD3403" w:rsidRPr="004034CD" w:rsidRDefault="00CD3403" w:rsidP="004034CD">
      <w:pPr>
        <w:pStyle w:val="BodyText"/>
      </w:pPr>
    </w:p>
    <w:p w14:paraId="7A0D4A3E" w14:textId="7BFE4F7D" w:rsidR="004034CD" w:rsidRDefault="004034CD" w:rsidP="004034CD">
      <w:pPr>
        <w:pStyle w:val="BodyText"/>
      </w:pPr>
      <w:r w:rsidRPr="004034CD">
        <w:t xml:space="preserve">The company is on a journey here, </w:t>
      </w:r>
      <w:r w:rsidR="00614DC6">
        <w:t>but two recommendations we made last year have not been fully followed through</w:t>
      </w:r>
      <w:r w:rsidRPr="004034CD">
        <w:t>:</w:t>
      </w:r>
    </w:p>
    <w:p w14:paraId="19D7C2CC" w14:textId="77777777" w:rsidR="004034CD" w:rsidRPr="004034CD" w:rsidRDefault="004034CD" w:rsidP="004034CD">
      <w:pPr>
        <w:pStyle w:val="BodyText"/>
      </w:pPr>
    </w:p>
    <w:p w14:paraId="6AE6309F" w14:textId="382BA3CE" w:rsidR="004034CD" w:rsidRPr="004034CD" w:rsidRDefault="004034CD" w:rsidP="004034CD">
      <w:pPr>
        <w:pStyle w:val="BodyText"/>
        <w:numPr>
          <w:ilvl w:val="0"/>
          <w:numId w:val="26"/>
        </w:numPr>
      </w:pPr>
      <w:r w:rsidRPr="004034CD">
        <w:t xml:space="preserve">That reference to the ICEG become more automatic. </w:t>
      </w:r>
      <w:r w:rsidR="00A11E3F" w:rsidRPr="004034CD">
        <w:t>So,</w:t>
      </w:r>
      <w:r w:rsidRPr="004034CD">
        <w:t xml:space="preserve"> for example, </w:t>
      </w:r>
      <w:r w:rsidR="001E0586">
        <w:t xml:space="preserve">some </w:t>
      </w:r>
      <w:r w:rsidRPr="004034CD">
        <w:t>members have noted le</w:t>
      </w:r>
      <w:r w:rsidR="00614DC6">
        <w:t xml:space="preserve">ss </w:t>
      </w:r>
      <w:r w:rsidR="005335C2">
        <w:t>engagement on adaptation planning.</w:t>
      </w:r>
    </w:p>
    <w:p w14:paraId="1BE42698" w14:textId="55160051" w:rsidR="004034CD" w:rsidRPr="004034CD" w:rsidRDefault="004034CD" w:rsidP="004034CD">
      <w:pPr>
        <w:pStyle w:val="BodyText"/>
        <w:numPr>
          <w:ilvl w:val="0"/>
          <w:numId w:val="26"/>
        </w:numPr>
      </w:pPr>
      <w:r w:rsidRPr="004034CD">
        <w:t xml:space="preserve">That engagement be better joined up </w:t>
      </w:r>
      <w:r w:rsidR="00A11E3F" w:rsidRPr="004034CD">
        <w:t>between engagement</w:t>
      </w:r>
      <w:r w:rsidRPr="004034CD">
        <w:t xml:space="preserve"> with ICEG and with the </w:t>
      </w:r>
      <w:r w:rsidR="008B30DD">
        <w:t>C</w:t>
      </w:r>
      <w:r w:rsidRPr="004034CD">
        <w:t>CCG</w:t>
      </w:r>
      <w:r w:rsidR="008B30DD">
        <w:t xml:space="preserve"> (Customer and Communities Challenge Group)</w:t>
      </w:r>
      <w:r w:rsidRPr="004034CD">
        <w:t xml:space="preserve">: </w:t>
      </w:r>
      <w:proofErr w:type="gramStart"/>
      <w:r w:rsidRPr="004034CD">
        <w:t>at the moment</w:t>
      </w:r>
      <w:proofErr w:type="gramEnd"/>
      <w:r w:rsidRPr="004034CD">
        <w:t xml:space="preserve">, </w:t>
      </w:r>
      <w:r w:rsidR="005335C2">
        <w:t xml:space="preserve">despite agreement in principle on a way forward, </w:t>
      </w:r>
      <w:r w:rsidRPr="004034CD">
        <w:t xml:space="preserve">how the two bodies are </w:t>
      </w:r>
      <w:r w:rsidR="005335C2">
        <w:t>engag</w:t>
      </w:r>
      <w:r w:rsidRPr="004034CD">
        <w:t xml:space="preserve">ed on environmental issues </w:t>
      </w:r>
      <w:r w:rsidR="005335C2">
        <w:t>remains</w:t>
      </w:r>
      <w:r w:rsidRPr="004034CD">
        <w:t xml:space="preserve"> ad hoc.</w:t>
      </w:r>
    </w:p>
    <w:p w14:paraId="1AA95F2D" w14:textId="77777777" w:rsidR="004034CD" w:rsidRPr="004034CD" w:rsidRDefault="004034CD" w:rsidP="004034CD">
      <w:pPr>
        <w:pStyle w:val="BodyText"/>
      </w:pPr>
    </w:p>
    <w:p w14:paraId="6EB4FF89" w14:textId="0558C3A3" w:rsidR="004034CD" w:rsidRDefault="004034CD" w:rsidP="004034CD">
      <w:pPr>
        <w:pStyle w:val="Heading1"/>
      </w:pPr>
      <w:bookmarkStart w:id="11" w:name="_Toc187249570"/>
      <w:r w:rsidRPr="004034CD">
        <w:t>Transparency</w:t>
      </w:r>
      <w:bookmarkEnd w:id="11"/>
    </w:p>
    <w:p w14:paraId="3955E82E" w14:textId="77777777" w:rsidR="004034CD" w:rsidRPr="004034CD" w:rsidRDefault="004034CD" w:rsidP="004034CD">
      <w:pPr>
        <w:pStyle w:val="BodyText"/>
        <w:rPr>
          <w:u w:val="single"/>
        </w:rPr>
      </w:pPr>
    </w:p>
    <w:p w14:paraId="30BC21D5" w14:textId="0EB0DDA9" w:rsidR="004034CD" w:rsidRDefault="004034CD" w:rsidP="004034CD">
      <w:pPr>
        <w:pStyle w:val="BodyText"/>
      </w:pPr>
      <w:r w:rsidRPr="004034CD">
        <w:t>Southern Water</w:t>
      </w:r>
      <w:r w:rsidR="00421891">
        <w:t>’</w:t>
      </w:r>
      <w:r w:rsidRPr="004034CD">
        <w:t xml:space="preserve">s </w:t>
      </w:r>
      <w:r w:rsidR="005C58E5">
        <w:t>early adoption (relative to the statutory requirement of Jan 2025</w:t>
      </w:r>
      <w:proofErr w:type="gramStart"/>
      <w:r w:rsidR="005C58E5">
        <w:t>)  of</w:t>
      </w:r>
      <w:proofErr w:type="gramEnd"/>
      <w:r w:rsidR="005C58E5">
        <w:t xml:space="preserve"> </w:t>
      </w:r>
      <w:r w:rsidRPr="004034CD">
        <w:t>transparency on sewer discharges is a good initiative</w:t>
      </w:r>
      <w:r w:rsidR="005C58E5">
        <w:t xml:space="preserve">, as </w:t>
      </w:r>
      <w:r w:rsidRPr="004034CD">
        <w:t xml:space="preserve">, with ‘beachbuoy’ </w:t>
      </w:r>
      <w:r w:rsidR="005C58E5">
        <w:t xml:space="preserve">– now Rivers and Seas Watch - </w:t>
      </w:r>
      <w:r w:rsidRPr="004034CD">
        <w:t>leading to</w:t>
      </w:r>
      <w:r w:rsidR="00DC1670">
        <w:t xml:space="preserve"> </w:t>
      </w:r>
      <w:r w:rsidRPr="004034CD">
        <w:t>full disclosure of discharges to the marine/coastal environment</w:t>
      </w:r>
      <w:r w:rsidR="00430D7D">
        <w:t xml:space="preserve"> and now</w:t>
      </w:r>
      <w:r w:rsidRPr="004034CD">
        <w:t xml:space="preserve"> to inland discharges</w:t>
      </w:r>
      <w:r w:rsidR="005C58E5">
        <w:t xml:space="preserve"> plus historic data</w:t>
      </w:r>
      <w:r w:rsidRPr="004034CD">
        <w:t>.</w:t>
      </w:r>
    </w:p>
    <w:p w14:paraId="699CC92A" w14:textId="77777777" w:rsidR="004034CD" w:rsidRPr="004034CD" w:rsidRDefault="004034CD" w:rsidP="004034CD">
      <w:pPr>
        <w:pStyle w:val="BodyText"/>
      </w:pPr>
    </w:p>
    <w:p w14:paraId="3C6AB3FB" w14:textId="1F91FFDB" w:rsidR="004034CD" w:rsidRDefault="004034CD" w:rsidP="004034CD">
      <w:pPr>
        <w:pStyle w:val="BodyText"/>
      </w:pPr>
      <w:r w:rsidRPr="004034CD">
        <w:t xml:space="preserve">The ICEG views transparency as an essential part of regaining trust. We accept that it comes with a risk, and that a ‘dip’ in trust initially may be part of the price as people see levels of </w:t>
      </w:r>
      <w:proofErr w:type="gramStart"/>
      <w:r w:rsidR="00494F62" w:rsidRPr="004034CD">
        <w:t>discharges</w:t>
      </w:r>
      <w:proofErr w:type="gramEnd"/>
      <w:r w:rsidRPr="004034CD">
        <w:t xml:space="preserve"> they were not </w:t>
      </w:r>
      <w:r w:rsidR="0037278A">
        <w:t>a</w:t>
      </w:r>
      <w:r w:rsidRPr="004034CD">
        <w:t>ware of.</w:t>
      </w:r>
    </w:p>
    <w:p w14:paraId="224CC0E0" w14:textId="7963DA6F" w:rsidR="00430D7D" w:rsidRDefault="00430D7D" w:rsidP="004034CD">
      <w:pPr>
        <w:pStyle w:val="BodyText"/>
      </w:pPr>
    </w:p>
    <w:p w14:paraId="64878896" w14:textId="0557C935" w:rsidR="004034CD" w:rsidRDefault="004034CD" w:rsidP="004034CD">
      <w:pPr>
        <w:pStyle w:val="BodyText"/>
      </w:pPr>
      <w:r w:rsidRPr="004034CD">
        <w:t xml:space="preserve">Even with the discharges data however we think there is more Southern Water could do to ensure there is </w:t>
      </w:r>
      <w:r w:rsidR="005C58E5">
        <w:t xml:space="preserve">a </w:t>
      </w:r>
      <w:r w:rsidRPr="004034CD">
        <w:t>trusted explanation of the relationship between discharges and their implications in terms of public health and environment damage. We rather doubt the company alone can provide this, given the trust deficit they face.</w:t>
      </w:r>
    </w:p>
    <w:p w14:paraId="7913846E" w14:textId="77777777" w:rsidR="004034CD" w:rsidRPr="004034CD" w:rsidRDefault="004034CD" w:rsidP="004034CD">
      <w:pPr>
        <w:pStyle w:val="BodyText"/>
      </w:pPr>
    </w:p>
    <w:p w14:paraId="3E8FCB9E" w14:textId="17A2BBF2" w:rsidR="004034CD" w:rsidRDefault="004034CD" w:rsidP="004034CD">
      <w:pPr>
        <w:pStyle w:val="BodyText"/>
      </w:pPr>
      <w:r w:rsidRPr="004034CD">
        <w:t xml:space="preserve">More widely, we feel that Southern Water are generally reluctant to provide third party assessment and assurance.  </w:t>
      </w:r>
      <w:r w:rsidR="007C2AEE">
        <w:t>This may be a result of the company ‘turning in on itself’ following the extent of criticism in the media.</w:t>
      </w:r>
    </w:p>
    <w:p w14:paraId="46689613" w14:textId="77777777" w:rsidR="004034CD" w:rsidRPr="004034CD" w:rsidRDefault="004034CD" w:rsidP="004034CD">
      <w:pPr>
        <w:pStyle w:val="BodyText"/>
      </w:pPr>
    </w:p>
    <w:p w14:paraId="2D83402B" w14:textId="2E05C429" w:rsidR="004034CD" w:rsidRDefault="004034CD" w:rsidP="004034CD">
      <w:pPr>
        <w:pStyle w:val="BodyText"/>
      </w:pPr>
      <w:r w:rsidRPr="004034CD">
        <w:t xml:space="preserve">We would very much like to work with the company to help them move to better </w:t>
      </w:r>
      <w:r w:rsidR="00494F62" w:rsidRPr="004034CD">
        <w:t>third-party</w:t>
      </w:r>
      <w:r w:rsidRPr="004034CD">
        <w:t xml:space="preserve"> assurance and thereby ensure that their reputation for transparency is enhanced, and that the transparency comes with rapid understanding of what data/proposals are really saying.</w:t>
      </w:r>
    </w:p>
    <w:p w14:paraId="2F7A9FCC" w14:textId="77777777" w:rsidR="004034CD" w:rsidRPr="004034CD" w:rsidRDefault="004034CD" w:rsidP="004034CD">
      <w:pPr>
        <w:pStyle w:val="BodyText"/>
      </w:pPr>
    </w:p>
    <w:p w14:paraId="1F418E4F" w14:textId="0E512151" w:rsidR="004034CD" w:rsidRDefault="004034CD" w:rsidP="004034CD">
      <w:pPr>
        <w:pStyle w:val="Heading1"/>
      </w:pPr>
      <w:bookmarkStart w:id="12" w:name="_Toc187249571"/>
      <w:r w:rsidRPr="004034CD">
        <w:t>Carbon/net zero</w:t>
      </w:r>
      <w:bookmarkEnd w:id="12"/>
    </w:p>
    <w:p w14:paraId="5977C97C" w14:textId="77777777" w:rsidR="004034CD" w:rsidRPr="004034CD" w:rsidRDefault="004034CD" w:rsidP="004034CD">
      <w:pPr>
        <w:pStyle w:val="BodyText"/>
        <w:rPr>
          <w:u w:val="single"/>
        </w:rPr>
      </w:pPr>
    </w:p>
    <w:p w14:paraId="30FD3AA0" w14:textId="3508CA7B" w:rsidR="004034CD" w:rsidRDefault="004034CD" w:rsidP="004034CD">
      <w:pPr>
        <w:pStyle w:val="BodyText"/>
      </w:pPr>
      <w:r w:rsidRPr="004034CD">
        <w:t xml:space="preserve"> Southern Water’s plans to deliver net zero carbon emissions are laid out in their document “Our Net Zero Plan”.  This is a clearly written plan and seems to cover the issues very well.  There is a clear approach to net zero, articulating a hierarchy with reducing emissions given highest priority, through replacing sources of carbon and </w:t>
      </w:r>
      <w:r w:rsidR="00D74192">
        <w:t>in some cases sequestering</w:t>
      </w:r>
      <w:r w:rsidR="00C7377F">
        <w:t xml:space="preserve"> </w:t>
      </w:r>
      <w:r w:rsidRPr="004034CD">
        <w:t xml:space="preserve">carbon by nature-based solutions, and then with offsetting for emissions that cannot be avoided as the last priority.  </w:t>
      </w:r>
    </w:p>
    <w:p w14:paraId="4A9CBF23" w14:textId="77777777" w:rsidR="004034CD" w:rsidRPr="004034CD" w:rsidRDefault="004034CD" w:rsidP="004034CD">
      <w:pPr>
        <w:pStyle w:val="BodyText"/>
      </w:pPr>
    </w:p>
    <w:p w14:paraId="7DBEE25D" w14:textId="5CA53468" w:rsidR="004034CD" w:rsidRDefault="005335C2" w:rsidP="004034CD">
      <w:pPr>
        <w:pStyle w:val="BodyText"/>
      </w:pPr>
      <w:r>
        <w:t xml:space="preserve">There remains more work on Carbon emissions from operations than from new projects - </w:t>
      </w:r>
      <w:proofErr w:type="gramStart"/>
      <w:r>
        <w:t xml:space="preserve">specifically </w:t>
      </w:r>
      <w:r w:rsidR="004034CD" w:rsidRPr="004034CD">
        <w:t xml:space="preserve"> emissions</w:t>
      </w:r>
      <w:proofErr w:type="gramEnd"/>
      <w:r w:rsidR="004034CD" w:rsidRPr="004034CD">
        <w:t xml:space="preserve"> from supply chains – the so called ‘scope 3’ emissions.  This could be a concern; for example, a change from delivering directly through SWs own operational activities to buying in a service from an external contractor may reduce SWs operational emissions yet overall emissions will not have reduced in practice.</w:t>
      </w:r>
    </w:p>
    <w:p w14:paraId="7050FD22" w14:textId="77777777" w:rsidR="004034CD" w:rsidRPr="004034CD" w:rsidRDefault="004034CD" w:rsidP="004034CD">
      <w:pPr>
        <w:pStyle w:val="BodyText"/>
      </w:pPr>
    </w:p>
    <w:p w14:paraId="1EFF0C9D" w14:textId="04ED66D8" w:rsidR="004034CD" w:rsidRDefault="004034CD" w:rsidP="004034CD">
      <w:pPr>
        <w:pStyle w:val="BodyText"/>
      </w:pPr>
      <w:r w:rsidRPr="004034CD">
        <w:lastRenderedPageBreak/>
        <w:t xml:space="preserve">That said, the plans and commitment seem robust, and Southern Water are to be commended that </w:t>
      </w:r>
      <w:proofErr w:type="gramStart"/>
      <w:r w:rsidRPr="004034CD">
        <w:t>they  started</w:t>
      </w:r>
      <w:proofErr w:type="gramEnd"/>
      <w:r w:rsidRPr="004034CD">
        <w:t xml:space="preserve"> looking at scope 3 before a number of other water companies.</w:t>
      </w:r>
    </w:p>
    <w:p w14:paraId="5C3486E3" w14:textId="77777777" w:rsidR="004034CD" w:rsidRPr="004034CD" w:rsidRDefault="004034CD" w:rsidP="004034CD">
      <w:pPr>
        <w:pStyle w:val="BodyText"/>
      </w:pPr>
    </w:p>
    <w:p w14:paraId="39939C35" w14:textId="331E2888" w:rsidR="004034CD" w:rsidRDefault="004034CD" w:rsidP="004034CD">
      <w:pPr>
        <w:pStyle w:val="BodyText"/>
      </w:pPr>
      <w:r w:rsidRPr="004034CD">
        <w:t xml:space="preserve">The ICEG now receive annual returns on carbon and will continue to hold </w:t>
      </w:r>
      <w:r w:rsidR="00DE64C5">
        <w:t>S</w:t>
      </w:r>
      <w:r w:rsidRPr="004034CD">
        <w:t xml:space="preserve">outhern </w:t>
      </w:r>
      <w:r w:rsidR="00DE64C5">
        <w:t>W</w:t>
      </w:r>
      <w:r w:rsidRPr="004034CD">
        <w:t xml:space="preserve">ater to account on delivery against objectives. </w:t>
      </w:r>
    </w:p>
    <w:p w14:paraId="31400794" w14:textId="77777777" w:rsidR="005335C2" w:rsidRDefault="005335C2" w:rsidP="004034CD">
      <w:pPr>
        <w:pStyle w:val="BodyText"/>
      </w:pPr>
    </w:p>
    <w:p w14:paraId="4FBD5F7E" w14:textId="60AE029C" w:rsidR="005335C2" w:rsidRDefault="005335C2" w:rsidP="004034CD">
      <w:pPr>
        <w:pStyle w:val="BodyText"/>
      </w:pPr>
      <w:r>
        <w:t>We think more work could also be done on</w:t>
      </w:r>
      <w:r w:rsidR="009B4E31">
        <w:t xml:space="preserve"> calculating and reporting relative emissions from different approaches, and </w:t>
      </w:r>
      <w:proofErr w:type="gramStart"/>
      <w:r w:rsidR="009B4E31">
        <w:t xml:space="preserve">in </w:t>
      </w:r>
      <w:r w:rsidR="00494F62">
        <w:t>particular</w:t>
      </w:r>
      <w:r w:rsidR="009B4E31">
        <w:t xml:space="preserve"> on</w:t>
      </w:r>
      <w:proofErr w:type="gramEnd"/>
      <w:r w:rsidR="009B4E31">
        <w:t xml:space="preserve"> the potential benefits of some </w:t>
      </w:r>
      <w:r w:rsidR="00494F62">
        <w:t>nature-based</w:t>
      </w:r>
      <w:r w:rsidR="009B4E31">
        <w:t xml:space="preserve"> approaches in terms of seque</w:t>
      </w:r>
      <w:r w:rsidR="00494F62">
        <w:t xml:space="preserve">stration of </w:t>
      </w:r>
      <w:r w:rsidR="009B4E31">
        <w:t>Carbon.</w:t>
      </w:r>
    </w:p>
    <w:p w14:paraId="02ED6104" w14:textId="77777777" w:rsidR="004034CD" w:rsidRPr="004034CD" w:rsidRDefault="004034CD" w:rsidP="004034CD">
      <w:pPr>
        <w:pStyle w:val="BodyText"/>
      </w:pPr>
    </w:p>
    <w:p w14:paraId="6EDC676E" w14:textId="6627894E" w:rsidR="004034CD" w:rsidRDefault="004034CD" w:rsidP="004034CD">
      <w:pPr>
        <w:pStyle w:val="Heading1"/>
      </w:pPr>
      <w:bookmarkStart w:id="13" w:name="_Toc187249572"/>
      <w:r w:rsidRPr="004034CD">
        <w:t>Procurement</w:t>
      </w:r>
      <w:bookmarkEnd w:id="13"/>
    </w:p>
    <w:p w14:paraId="15CB632F" w14:textId="77777777" w:rsidR="004034CD" w:rsidRPr="004034CD" w:rsidRDefault="004034CD" w:rsidP="004034CD">
      <w:pPr>
        <w:pStyle w:val="BodyText"/>
        <w:rPr>
          <w:u w:val="single"/>
        </w:rPr>
      </w:pPr>
    </w:p>
    <w:p w14:paraId="1878E06C" w14:textId="1E147063" w:rsidR="004034CD" w:rsidRDefault="004034CD" w:rsidP="004034CD">
      <w:pPr>
        <w:pStyle w:val="BodyText"/>
      </w:pPr>
      <w:r w:rsidRPr="004034CD">
        <w:t xml:space="preserve">We have </w:t>
      </w:r>
      <w:r w:rsidR="009B4E31">
        <w:t xml:space="preserve">referred to our suggestions on </w:t>
      </w:r>
      <w:r w:rsidRPr="004034CD">
        <w:t xml:space="preserve">procurement </w:t>
      </w:r>
      <w:r w:rsidR="009B4E31">
        <w:t>above</w:t>
      </w:r>
      <w:r w:rsidRPr="004034CD">
        <w:t xml:space="preserve">. Our concern </w:t>
      </w:r>
      <w:r w:rsidR="009B4E31">
        <w:t>remains</w:t>
      </w:r>
      <w:r w:rsidRPr="004034CD">
        <w:t xml:space="preserve"> that Southern Water’s procurement is set up to provide for large (£10-100m) projects and/or similar sized aggregate spend on repeatable transactions such as raw materials/chemicals. We have heard from </w:t>
      </w:r>
      <w:proofErr w:type="gramStart"/>
      <w:r w:rsidRPr="004034CD">
        <w:t>a number of</w:t>
      </w:r>
      <w:proofErr w:type="gramEnd"/>
      <w:r w:rsidRPr="004034CD">
        <w:t xml:space="preserve"> sources that this type of framework/procurement does not work well in terms of access to SMEs, third sector delivery partners and local authority related delivery bodies</w:t>
      </w:r>
      <w:r w:rsidR="009B4E31">
        <w:t xml:space="preserve"> – nor does it facilitate using </w:t>
      </w:r>
      <w:r w:rsidR="00494F62">
        <w:t>other</w:t>
      </w:r>
      <w:r w:rsidR="009B4E31">
        <w:t xml:space="preserve"> frameworks (e.g. those of local authorities)</w:t>
      </w:r>
      <w:r w:rsidRPr="004034CD">
        <w:t>.</w:t>
      </w:r>
      <w:r w:rsidR="00DE64C5">
        <w:t xml:space="preserve"> It may also be a barrier to some forms of innovation.</w:t>
      </w:r>
      <w:r w:rsidRPr="004034CD">
        <w:t xml:space="preserve"> </w:t>
      </w:r>
    </w:p>
    <w:p w14:paraId="7F9CFBBE" w14:textId="77777777" w:rsidR="004034CD" w:rsidRPr="004034CD" w:rsidRDefault="004034CD" w:rsidP="004034CD">
      <w:pPr>
        <w:pStyle w:val="BodyText"/>
      </w:pPr>
    </w:p>
    <w:p w14:paraId="46FDF812" w14:textId="12A6DB83" w:rsidR="00EE63AF" w:rsidRDefault="004034CD" w:rsidP="004034CD">
      <w:pPr>
        <w:pStyle w:val="BodyText"/>
      </w:pPr>
      <w:r w:rsidRPr="004034CD">
        <w:t>Southern Water’s immediate response was that they aim to expand their grant giving regime to get round this problem. W</w:t>
      </w:r>
      <w:r w:rsidR="00EE63AF">
        <w:t>hile this is welcome, w</w:t>
      </w:r>
      <w:r w:rsidRPr="004034CD">
        <w:t xml:space="preserve">e are to date </w:t>
      </w:r>
      <w:r w:rsidR="00494F62" w:rsidRPr="004034CD">
        <w:t xml:space="preserve">unconvinced </w:t>
      </w:r>
      <w:r w:rsidR="00E4405C">
        <w:t xml:space="preserve">that it will be sufficient </w:t>
      </w:r>
      <w:r w:rsidR="00494F62" w:rsidRPr="004034CD">
        <w:t>and</w:t>
      </w:r>
      <w:r w:rsidR="005C58E5">
        <w:t xml:space="preserve"> are </w:t>
      </w:r>
      <w:r w:rsidR="009E10A6">
        <w:t>concerned</w:t>
      </w:r>
      <w:r w:rsidR="009E10A6" w:rsidRPr="004034CD">
        <w:t xml:space="preserve"> that</w:t>
      </w:r>
      <w:r w:rsidRPr="004034CD">
        <w:t xml:space="preserve"> this approach may place an effective cap on the amount of local joint working which the company can undertake. </w:t>
      </w:r>
    </w:p>
    <w:p w14:paraId="05DD79D5" w14:textId="77777777" w:rsidR="00EE63AF" w:rsidRDefault="00EE63AF" w:rsidP="004034CD">
      <w:pPr>
        <w:pStyle w:val="BodyText"/>
      </w:pPr>
    </w:p>
    <w:p w14:paraId="0FCD2733" w14:textId="6DD518B8" w:rsidR="008460F6" w:rsidRDefault="004034CD" w:rsidP="004034CD">
      <w:pPr>
        <w:pStyle w:val="BodyText"/>
      </w:pPr>
      <w:r w:rsidRPr="004034CD">
        <w:t xml:space="preserve">We </w:t>
      </w:r>
      <w:r w:rsidR="009B4E31">
        <w:t>continue to</w:t>
      </w:r>
      <w:r w:rsidRPr="004034CD">
        <w:t xml:space="preserve"> see a strong case for a minor works framework which would cater to local and third sector delivery partners</w:t>
      </w:r>
      <w:r w:rsidR="00661025">
        <w:t xml:space="preserve"> whilst building their capacity</w:t>
      </w:r>
      <w:r w:rsidRPr="004034CD">
        <w:t xml:space="preserve">. While any one procurement with these players may have slightly increased risk regarding delivery, </w:t>
      </w:r>
      <w:r w:rsidR="00494F62" w:rsidRPr="004034CD">
        <w:t>overall,</w:t>
      </w:r>
      <w:r w:rsidRPr="004034CD">
        <w:t xml:space="preserve"> we can see significant environmental and reputational benefit</w:t>
      </w:r>
      <w:r w:rsidR="00E4405C">
        <w:t>. W</w:t>
      </w:r>
      <w:r w:rsidRPr="004034CD">
        <w:t xml:space="preserve">e have also provided </w:t>
      </w:r>
      <w:proofErr w:type="gramStart"/>
      <w:r w:rsidRPr="004034CD">
        <w:t>a number of</w:t>
      </w:r>
      <w:proofErr w:type="gramEnd"/>
      <w:r w:rsidRPr="004034CD">
        <w:t xml:space="preserve"> examples which suggest that for works below £10m such partners may well be able to deliver very significant cost savings.</w:t>
      </w:r>
      <w:r w:rsidR="00C7377F">
        <w:t xml:space="preserve"> </w:t>
      </w:r>
    </w:p>
    <w:p w14:paraId="13A15EE6" w14:textId="77777777" w:rsidR="008460F6" w:rsidRDefault="008460F6">
      <w:pPr>
        <w:rPr>
          <w:rFonts w:ascii="Avenir Next LT Pro" w:eastAsia="Times New Roman" w:hAnsi="Avenir Next LT Pro"/>
          <w:sz w:val="20"/>
        </w:rPr>
      </w:pPr>
      <w:r>
        <w:br w:type="page"/>
      </w:r>
    </w:p>
    <w:p w14:paraId="6AD0F97D" w14:textId="77777777" w:rsidR="004034CD" w:rsidRPr="004034CD" w:rsidRDefault="004034CD" w:rsidP="004034CD">
      <w:pPr>
        <w:pStyle w:val="BodyText"/>
      </w:pPr>
    </w:p>
    <w:p w14:paraId="184CC580" w14:textId="7BBE561D" w:rsidR="004034CD" w:rsidRPr="00873FC0" w:rsidRDefault="004034CD" w:rsidP="009B4E31">
      <w:pPr>
        <w:pStyle w:val="ContentsHeading"/>
        <w:numPr>
          <w:ilvl w:val="0"/>
          <w:numId w:val="0"/>
        </w:numPr>
        <w:rPr>
          <w:sz w:val="20"/>
          <w:szCs w:val="20"/>
        </w:rPr>
      </w:pPr>
      <w:bookmarkStart w:id="14" w:name="_Toc137807944"/>
      <w:bookmarkStart w:id="15" w:name="_Toc187249573"/>
      <w:r w:rsidRPr="004034CD">
        <w:t>Annex: Group membership</w:t>
      </w:r>
      <w:bookmarkEnd w:id="14"/>
      <w:r w:rsidR="005C58E5">
        <w:t xml:space="preserve"> (as </w:t>
      </w:r>
      <w:r w:rsidR="009E10A6">
        <w:t>of</w:t>
      </w:r>
      <w:r w:rsidR="005C58E5">
        <w:t xml:space="preserve"> Dec 2024)</w:t>
      </w:r>
      <w:bookmarkEnd w:id="15"/>
      <w:r w:rsidR="009B4E31">
        <w:t xml:space="preserve"> </w:t>
      </w:r>
    </w:p>
    <w:p w14:paraId="54418BDA" w14:textId="77777777" w:rsidR="004034CD" w:rsidRPr="004034CD" w:rsidRDefault="004034CD" w:rsidP="004034CD">
      <w:pPr>
        <w:pStyle w:val="BodyText"/>
      </w:pPr>
    </w:p>
    <w:p w14:paraId="719F078E" w14:textId="4C5F1A74" w:rsidR="004034CD" w:rsidRPr="004034CD" w:rsidRDefault="004034CD" w:rsidP="004034CD">
      <w:pPr>
        <w:pStyle w:val="BodyText"/>
      </w:pPr>
      <w:r w:rsidRPr="004034CD">
        <w:t xml:space="preserve">Chair </w:t>
      </w:r>
      <w:r w:rsidR="00322C5E">
        <w:t>–</w:t>
      </w:r>
      <w:r w:rsidRPr="004034CD">
        <w:t xml:space="preserve"> </w:t>
      </w:r>
      <w:r w:rsidR="00322C5E">
        <w:t xml:space="preserve">Professor </w:t>
      </w:r>
      <w:r w:rsidRPr="004034CD">
        <w:rPr>
          <w:lang w:val="en-US"/>
        </w:rPr>
        <w:t>Martin Hurst</w:t>
      </w:r>
      <w:r w:rsidR="006B579D">
        <w:rPr>
          <w:lang w:val="en-US"/>
        </w:rPr>
        <w:t xml:space="preserve"> (Independent)  </w:t>
      </w:r>
    </w:p>
    <w:p w14:paraId="7CF1B8DC" w14:textId="0F1EC1E5" w:rsidR="004034CD" w:rsidRPr="004034CD" w:rsidRDefault="004034CD" w:rsidP="004034CD">
      <w:pPr>
        <w:pStyle w:val="BodyText"/>
      </w:pPr>
      <w:r w:rsidRPr="004034CD">
        <w:rPr>
          <w:lang w:val="en-US"/>
        </w:rPr>
        <w:t>National Farmers Union - Isobel Budden</w:t>
      </w:r>
      <w:r w:rsidR="006B579D">
        <w:rPr>
          <w:lang w:val="en-US"/>
        </w:rPr>
        <w:t xml:space="preserve"> (Environment and land use advisor)</w:t>
      </w:r>
    </w:p>
    <w:p w14:paraId="604DCDE0" w14:textId="5AEDE35A" w:rsidR="004034CD" w:rsidRDefault="009B4E31" w:rsidP="004034CD">
      <w:pPr>
        <w:pStyle w:val="BodyText"/>
        <w:rPr>
          <w:lang w:val="en-US"/>
        </w:rPr>
      </w:pPr>
      <w:r>
        <w:rPr>
          <w:lang w:val="en-US"/>
        </w:rPr>
        <w:t xml:space="preserve">Regional </w:t>
      </w:r>
      <w:r w:rsidR="004034CD" w:rsidRPr="004034CD">
        <w:rPr>
          <w:lang w:val="en-US"/>
        </w:rPr>
        <w:t xml:space="preserve">Rivers Trust - Dave Brown </w:t>
      </w:r>
      <w:r w:rsidR="006B579D">
        <w:rPr>
          <w:lang w:val="en-US"/>
        </w:rPr>
        <w:t>(Rivers Trust Trustee)</w:t>
      </w:r>
    </w:p>
    <w:p w14:paraId="634513C0" w14:textId="44C3A0EC" w:rsidR="009B4E31" w:rsidRPr="004034CD" w:rsidRDefault="009B4E31" w:rsidP="004034CD">
      <w:pPr>
        <w:pStyle w:val="BodyText"/>
        <w:rPr>
          <w:lang w:val="en-US"/>
        </w:rPr>
      </w:pPr>
      <w:proofErr w:type="gramStart"/>
      <w:r>
        <w:rPr>
          <w:lang w:val="en-US"/>
        </w:rPr>
        <w:t>South East</w:t>
      </w:r>
      <w:proofErr w:type="gramEnd"/>
      <w:r>
        <w:rPr>
          <w:lang w:val="en-US"/>
        </w:rPr>
        <w:t xml:space="preserve"> </w:t>
      </w:r>
      <w:r w:rsidR="006B579D">
        <w:rPr>
          <w:lang w:val="en-US"/>
        </w:rPr>
        <w:t>R</w:t>
      </w:r>
      <w:r>
        <w:rPr>
          <w:lang w:val="en-US"/>
        </w:rPr>
        <w:t xml:space="preserve">ivers </w:t>
      </w:r>
      <w:r w:rsidR="006B579D">
        <w:rPr>
          <w:lang w:val="en-US"/>
        </w:rPr>
        <w:t>T</w:t>
      </w:r>
      <w:r>
        <w:rPr>
          <w:lang w:val="en-US"/>
        </w:rPr>
        <w:t>rust – Bella Davies (CEO)</w:t>
      </w:r>
    </w:p>
    <w:p w14:paraId="23DFF141" w14:textId="77777777" w:rsidR="004034CD" w:rsidRPr="004034CD" w:rsidRDefault="004034CD" w:rsidP="004034CD">
      <w:pPr>
        <w:pStyle w:val="BodyText"/>
      </w:pPr>
      <w:proofErr w:type="gramStart"/>
      <w:r w:rsidRPr="004034CD">
        <w:rPr>
          <w:lang w:val="en-US"/>
        </w:rPr>
        <w:t>South East</w:t>
      </w:r>
      <w:proofErr w:type="gramEnd"/>
      <w:r w:rsidRPr="004034CD">
        <w:rPr>
          <w:lang w:val="en-US"/>
        </w:rPr>
        <w:t xml:space="preserve"> Climate Alliance - Tony Whitbread</w:t>
      </w:r>
    </w:p>
    <w:p w14:paraId="61370D26" w14:textId="7852A60D" w:rsidR="004034CD" w:rsidRPr="004034CD" w:rsidRDefault="004034CD" w:rsidP="004034CD">
      <w:pPr>
        <w:pStyle w:val="BodyText"/>
        <w:rPr>
          <w:lang w:val="en-US"/>
        </w:rPr>
      </w:pPr>
      <w:r w:rsidRPr="004034CD">
        <w:rPr>
          <w:lang w:val="en-US"/>
        </w:rPr>
        <w:t>Environment Agency - Sarah Powell</w:t>
      </w:r>
      <w:r w:rsidR="00E766EB">
        <w:rPr>
          <w:lang w:val="en-US"/>
        </w:rPr>
        <w:t xml:space="preserve"> (Water Company Account Manager)</w:t>
      </w:r>
      <w:r w:rsidR="004B339A">
        <w:rPr>
          <w:lang w:val="en-US"/>
        </w:rPr>
        <w:t xml:space="preserve"> and Richard O’Callaghan (Environment Planning &amp; Engagement Manager)</w:t>
      </w:r>
    </w:p>
    <w:p w14:paraId="5F0B2BF4" w14:textId="39776293" w:rsidR="004034CD" w:rsidRPr="004034CD" w:rsidRDefault="004034CD" w:rsidP="004034CD">
      <w:pPr>
        <w:pStyle w:val="BodyText"/>
      </w:pPr>
      <w:r w:rsidRPr="004034CD">
        <w:rPr>
          <w:lang w:val="en-US"/>
        </w:rPr>
        <w:t>Natural England - Aldous Rees</w:t>
      </w:r>
      <w:r w:rsidR="00E766EB">
        <w:rPr>
          <w:lang w:val="en-US"/>
        </w:rPr>
        <w:t xml:space="preserve"> (Freshwater Senior Officer)</w:t>
      </w:r>
    </w:p>
    <w:p w14:paraId="4AA222CE" w14:textId="220C204A" w:rsidR="004034CD" w:rsidRPr="004034CD" w:rsidRDefault="00C4061D" w:rsidP="004034CD">
      <w:pPr>
        <w:pStyle w:val="BodyText"/>
        <w:rPr>
          <w:lang w:val="en-US"/>
        </w:rPr>
      </w:pPr>
      <w:r w:rsidRPr="00C4061D">
        <w:rPr>
          <w:rFonts w:cs="Arial"/>
          <w:lang w:eastAsia="en-US"/>
        </w:rPr>
        <w:t>Coastal Partners and Southern Coastal Group</w:t>
      </w:r>
      <w:r w:rsidR="004034CD" w:rsidRPr="004034CD">
        <w:rPr>
          <w:lang w:val="en-US"/>
        </w:rPr>
        <w:t xml:space="preserve"> - Lyall Cairns</w:t>
      </w:r>
      <w:r w:rsidR="00E766EB">
        <w:rPr>
          <w:lang w:val="en-US"/>
        </w:rPr>
        <w:t xml:space="preserve"> (Head of Coastal Partners)</w:t>
      </w:r>
    </w:p>
    <w:p w14:paraId="491E19A5" w14:textId="5FA68488" w:rsidR="004034CD" w:rsidRPr="004034CD" w:rsidRDefault="004034CD" w:rsidP="004034CD">
      <w:pPr>
        <w:pStyle w:val="BodyText"/>
      </w:pPr>
      <w:r w:rsidRPr="004034CD">
        <w:rPr>
          <w:lang w:val="en-US"/>
        </w:rPr>
        <w:t xml:space="preserve">Waterwise - Laura </w:t>
      </w:r>
      <w:r w:rsidR="00E766EB">
        <w:rPr>
          <w:lang w:val="en-US"/>
        </w:rPr>
        <w:t xml:space="preserve">Berks (Projects and training manager </w:t>
      </w:r>
    </w:p>
    <w:p w14:paraId="22CA9C7F" w14:textId="1518286B" w:rsidR="004034CD" w:rsidRPr="004034CD" w:rsidRDefault="004034CD" w:rsidP="004034CD">
      <w:pPr>
        <w:pStyle w:val="BodyText"/>
      </w:pPr>
      <w:r w:rsidRPr="004034CD">
        <w:rPr>
          <w:lang w:val="en-US"/>
        </w:rPr>
        <w:t xml:space="preserve">Kent County Council </w:t>
      </w:r>
      <w:r w:rsidR="00873FC0">
        <w:rPr>
          <w:lang w:val="en-US"/>
        </w:rPr>
        <w:t>-</w:t>
      </w:r>
      <w:r w:rsidR="00DA3A29">
        <w:rPr>
          <w:lang w:val="en-US"/>
        </w:rPr>
        <w:t xml:space="preserve"> Louise Smith</w:t>
      </w:r>
      <w:r w:rsidR="00E766EB">
        <w:rPr>
          <w:lang w:val="en-US"/>
        </w:rPr>
        <w:t xml:space="preserve"> (Flood and Water Manager)</w:t>
      </w:r>
    </w:p>
    <w:p w14:paraId="51E26789" w14:textId="2FDCA4E9" w:rsidR="004034CD" w:rsidRPr="004034CD" w:rsidRDefault="004034CD" w:rsidP="004034CD">
      <w:pPr>
        <w:pStyle w:val="BodyText"/>
      </w:pPr>
      <w:r w:rsidRPr="004034CD">
        <w:rPr>
          <w:lang w:val="en-US"/>
        </w:rPr>
        <w:t>The Wildlife Trusts - Ali Morse</w:t>
      </w:r>
      <w:r w:rsidR="00E766EB">
        <w:rPr>
          <w:lang w:val="en-US"/>
        </w:rPr>
        <w:t xml:space="preserve"> (Water Policy Manager) </w:t>
      </w:r>
    </w:p>
    <w:p w14:paraId="75AAE3D5" w14:textId="35DA2B88" w:rsidR="004034CD" w:rsidRPr="004034CD" w:rsidRDefault="004034CD" w:rsidP="004034CD">
      <w:pPr>
        <w:pStyle w:val="BodyText"/>
      </w:pPr>
      <w:r w:rsidRPr="004034CD">
        <w:rPr>
          <w:lang w:val="en-US"/>
        </w:rPr>
        <w:t xml:space="preserve">Water Resources </w:t>
      </w:r>
      <w:proofErr w:type="gramStart"/>
      <w:r w:rsidRPr="004034CD">
        <w:rPr>
          <w:lang w:val="en-US"/>
        </w:rPr>
        <w:t>South East</w:t>
      </w:r>
      <w:proofErr w:type="gramEnd"/>
      <w:r w:rsidRPr="004034CD">
        <w:t xml:space="preserve"> - </w:t>
      </w:r>
      <w:r w:rsidRPr="004034CD">
        <w:rPr>
          <w:lang w:val="en-US"/>
        </w:rPr>
        <w:t>Meyrick Gough</w:t>
      </w:r>
      <w:r w:rsidR="00E766EB">
        <w:rPr>
          <w:lang w:val="en-US"/>
        </w:rPr>
        <w:t xml:space="preserve"> &amp; Lee Dance (Directors)</w:t>
      </w:r>
    </w:p>
    <w:p w14:paraId="37F36641" w14:textId="57249466" w:rsidR="004034CD" w:rsidRPr="004034CD" w:rsidRDefault="004034CD" w:rsidP="004034CD">
      <w:pPr>
        <w:pStyle w:val="BodyText"/>
      </w:pPr>
      <w:r w:rsidRPr="004034CD">
        <w:rPr>
          <w:lang w:val="en-US"/>
        </w:rPr>
        <w:t xml:space="preserve">RSPB </w:t>
      </w:r>
      <w:r w:rsidR="009E10A6" w:rsidRPr="004034CD">
        <w:rPr>
          <w:lang w:val="en-US"/>
        </w:rPr>
        <w:t xml:space="preserve">- </w:t>
      </w:r>
      <w:r w:rsidR="009E10A6">
        <w:rPr>
          <w:lang w:val="en-US"/>
        </w:rPr>
        <w:t>Chloe</w:t>
      </w:r>
      <w:r w:rsidR="00E766EB">
        <w:rPr>
          <w:lang w:val="en-US"/>
        </w:rPr>
        <w:t xml:space="preserve"> Rose (Senior Conservation Officer)</w:t>
      </w:r>
    </w:p>
    <w:p w14:paraId="055A3982" w14:textId="2D822A34" w:rsidR="004034CD" w:rsidRPr="004034CD" w:rsidRDefault="004034CD" w:rsidP="004034CD">
      <w:pPr>
        <w:pStyle w:val="BodyText"/>
        <w:rPr>
          <w:lang w:val="en-US"/>
        </w:rPr>
      </w:pPr>
      <w:r w:rsidRPr="004034CD">
        <w:rPr>
          <w:lang w:val="en-US"/>
        </w:rPr>
        <w:t>New Forest National Park Authority - Alison Barnes</w:t>
      </w:r>
      <w:r w:rsidR="00E766EB">
        <w:rPr>
          <w:lang w:val="en-US"/>
        </w:rPr>
        <w:t xml:space="preserve"> (CEO)</w:t>
      </w:r>
    </w:p>
    <w:p w14:paraId="715CEA71" w14:textId="7FC5E128" w:rsidR="004034CD" w:rsidRPr="004034CD" w:rsidRDefault="004034CD" w:rsidP="004034CD">
      <w:pPr>
        <w:pStyle w:val="BodyText"/>
        <w:rPr>
          <w:lang w:val="en-US"/>
        </w:rPr>
      </w:pPr>
      <w:r w:rsidRPr="004034CD">
        <w:rPr>
          <w:lang w:val="en-US"/>
        </w:rPr>
        <w:t>Consumer Council for Water – Michael Barnes</w:t>
      </w:r>
      <w:r w:rsidR="00E766EB">
        <w:rPr>
          <w:lang w:val="en-US"/>
        </w:rPr>
        <w:t xml:space="preserve"> (</w:t>
      </w:r>
      <w:r w:rsidR="00D97A01">
        <w:rPr>
          <w:lang w:val="en-US"/>
        </w:rPr>
        <w:t>P</w:t>
      </w:r>
      <w:r w:rsidR="00E766EB">
        <w:rPr>
          <w:lang w:val="en-US"/>
        </w:rPr>
        <w:t xml:space="preserve">olicy </w:t>
      </w:r>
      <w:r w:rsidR="00D97A01">
        <w:rPr>
          <w:lang w:val="en-US"/>
        </w:rPr>
        <w:t>M</w:t>
      </w:r>
      <w:r w:rsidR="00E766EB">
        <w:rPr>
          <w:lang w:val="en-US"/>
        </w:rPr>
        <w:t>anager)</w:t>
      </w:r>
    </w:p>
    <w:p w14:paraId="149AF66D" w14:textId="389EE4C3" w:rsidR="004034CD" w:rsidRDefault="004034CD" w:rsidP="004034CD">
      <w:pPr>
        <w:pStyle w:val="BodyText"/>
        <w:rPr>
          <w:lang w:val="en-US"/>
        </w:rPr>
      </w:pPr>
      <w:r w:rsidRPr="004034CD">
        <w:rPr>
          <w:lang w:val="en-US"/>
        </w:rPr>
        <w:t xml:space="preserve">Blue Marine Foundation </w:t>
      </w:r>
      <w:r w:rsidR="00DD395B">
        <w:rPr>
          <w:lang w:val="en-US"/>
        </w:rPr>
        <w:t>–</w:t>
      </w:r>
      <w:r w:rsidR="009B4E31">
        <w:rPr>
          <w:lang w:val="en-US"/>
        </w:rPr>
        <w:t xml:space="preserve"> </w:t>
      </w:r>
      <w:r w:rsidR="00E766EB">
        <w:rPr>
          <w:lang w:val="en-US"/>
        </w:rPr>
        <w:t>Louise MacCallum (Solent Restoration Project Manager)</w:t>
      </w:r>
    </w:p>
    <w:p w14:paraId="0F34FD9B" w14:textId="554C426E" w:rsidR="00E766EB" w:rsidRDefault="00E766EB" w:rsidP="004034CD">
      <w:pPr>
        <w:pStyle w:val="BodyText"/>
        <w:rPr>
          <w:lang w:val="en-US"/>
        </w:rPr>
      </w:pPr>
      <w:r>
        <w:rPr>
          <w:lang w:val="en-US"/>
        </w:rPr>
        <w:t xml:space="preserve">West Sussex County Council – Matt Davey </w:t>
      </w:r>
      <w:r w:rsidR="00D97A01">
        <w:rPr>
          <w:lang w:val="en-US"/>
        </w:rPr>
        <w:t>(Assistant Director of Highways Transport and Planning)</w:t>
      </w:r>
    </w:p>
    <w:p w14:paraId="0AD05D14" w14:textId="65FF6BE0" w:rsidR="00D97A01" w:rsidRDefault="00D97A01" w:rsidP="004034CD">
      <w:pPr>
        <w:pStyle w:val="BodyText"/>
        <w:rPr>
          <w:lang w:val="en-US"/>
        </w:rPr>
      </w:pPr>
      <w:r>
        <w:rPr>
          <w:lang w:val="en-US"/>
        </w:rPr>
        <w:t xml:space="preserve">Hampshire County Council – Vicki </w:t>
      </w:r>
      <w:proofErr w:type="spellStart"/>
      <w:r>
        <w:rPr>
          <w:lang w:val="en-US"/>
        </w:rPr>
        <w:t>Westall</w:t>
      </w:r>
      <w:proofErr w:type="spellEnd"/>
      <w:r>
        <w:rPr>
          <w:lang w:val="en-US"/>
        </w:rPr>
        <w:t xml:space="preserve"> (Flood and Water Management Coordinator)</w:t>
      </w:r>
    </w:p>
    <w:p w14:paraId="5B415608" w14:textId="38E7520E" w:rsidR="00D97A01" w:rsidRDefault="00D97A01" w:rsidP="004034CD">
      <w:pPr>
        <w:pStyle w:val="BodyText"/>
        <w:rPr>
          <w:lang w:val="en-US"/>
        </w:rPr>
      </w:pPr>
      <w:r>
        <w:rPr>
          <w:lang w:val="en-US"/>
        </w:rPr>
        <w:t xml:space="preserve">South Downs National Park Authority – member to be appointed. </w:t>
      </w:r>
    </w:p>
    <w:p w14:paraId="590B5E31" w14:textId="4909D756" w:rsidR="00D97A01" w:rsidRDefault="00D97A01" w:rsidP="004034CD">
      <w:pPr>
        <w:pStyle w:val="BodyText"/>
        <w:rPr>
          <w:lang w:val="en-US"/>
        </w:rPr>
      </w:pPr>
      <w:r>
        <w:rPr>
          <w:lang w:val="en-US"/>
        </w:rPr>
        <w:t>Def</w:t>
      </w:r>
      <w:r w:rsidR="00873FC0">
        <w:rPr>
          <w:lang w:val="en-US"/>
        </w:rPr>
        <w:t>r</w:t>
      </w:r>
      <w:r>
        <w:rPr>
          <w:lang w:val="en-US"/>
        </w:rPr>
        <w:t xml:space="preserve">a – member to be </w:t>
      </w:r>
      <w:r w:rsidR="009E10A6">
        <w:rPr>
          <w:lang w:val="en-US"/>
        </w:rPr>
        <w:t>appointed.</w:t>
      </w:r>
      <w:r>
        <w:rPr>
          <w:lang w:val="en-US"/>
        </w:rPr>
        <w:t xml:space="preserve"> </w:t>
      </w:r>
    </w:p>
    <w:p w14:paraId="19962E3C" w14:textId="2413E980" w:rsidR="00D97A01" w:rsidRDefault="00D97A01" w:rsidP="00D97A01">
      <w:pPr>
        <w:pStyle w:val="BodyText"/>
        <w:rPr>
          <w:lang w:val="en-US"/>
        </w:rPr>
      </w:pPr>
      <w:r>
        <w:rPr>
          <w:lang w:val="en-US"/>
        </w:rPr>
        <w:t xml:space="preserve">East Sussex CC – member to be </w:t>
      </w:r>
      <w:r w:rsidR="009E10A6">
        <w:rPr>
          <w:lang w:val="en-US"/>
        </w:rPr>
        <w:t>appointed.</w:t>
      </w:r>
    </w:p>
    <w:p w14:paraId="6F6D24A9" w14:textId="77777777" w:rsidR="00D97A01" w:rsidRDefault="00D97A01" w:rsidP="004034CD">
      <w:pPr>
        <w:pStyle w:val="BodyText"/>
        <w:rPr>
          <w:lang w:val="en-US"/>
        </w:rPr>
      </w:pPr>
    </w:p>
    <w:p w14:paraId="7FD60D6E" w14:textId="77777777" w:rsidR="00DD395B" w:rsidRDefault="00DD395B" w:rsidP="004034CD">
      <w:pPr>
        <w:pStyle w:val="BodyText"/>
        <w:rPr>
          <w:lang w:val="en-US"/>
        </w:rPr>
      </w:pPr>
    </w:p>
    <w:bookmarkEnd w:id="3"/>
    <w:p w14:paraId="17EC735D" w14:textId="77777777" w:rsidR="004034CD" w:rsidRPr="004034CD" w:rsidRDefault="004034CD" w:rsidP="004034CD">
      <w:pPr>
        <w:pStyle w:val="BodyText"/>
      </w:pPr>
    </w:p>
    <w:sectPr w:rsidR="004034CD" w:rsidRPr="004034CD" w:rsidSect="004341DC">
      <w:headerReference w:type="default" r:id="rId17"/>
      <w:pgSz w:w="11906" w:h="16838" w:code="9"/>
      <w:pgMar w:top="1814"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D29B" w14:textId="77777777" w:rsidR="00D400BF" w:rsidRDefault="00D400BF" w:rsidP="00511A8D">
      <w:r>
        <w:separator/>
      </w:r>
    </w:p>
    <w:p w14:paraId="084B6D10" w14:textId="77777777" w:rsidR="00D400BF" w:rsidRDefault="00D400BF"/>
    <w:p w14:paraId="50A3AFE4" w14:textId="77777777" w:rsidR="00D400BF" w:rsidRDefault="00D400BF"/>
    <w:p w14:paraId="329F96B2" w14:textId="77777777" w:rsidR="00D400BF" w:rsidRDefault="00D400BF"/>
    <w:p w14:paraId="2F64EE7A" w14:textId="77777777" w:rsidR="00D400BF" w:rsidRDefault="00D400BF"/>
    <w:p w14:paraId="4E1D808E" w14:textId="77777777" w:rsidR="00D400BF" w:rsidRDefault="00D400BF"/>
  </w:endnote>
  <w:endnote w:type="continuationSeparator" w:id="0">
    <w:p w14:paraId="2759FE82" w14:textId="77777777" w:rsidR="00D400BF" w:rsidRDefault="00D400BF" w:rsidP="00511A8D">
      <w:r>
        <w:continuationSeparator/>
      </w:r>
    </w:p>
    <w:p w14:paraId="42858C88" w14:textId="77777777" w:rsidR="00D400BF" w:rsidRDefault="00D400BF"/>
    <w:p w14:paraId="186D05F1" w14:textId="77777777" w:rsidR="00D400BF" w:rsidRDefault="00D400BF"/>
    <w:p w14:paraId="29899B6F" w14:textId="77777777" w:rsidR="00D400BF" w:rsidRDefault="00D400BF"/>
    <w:p w14:paraId="1F1CC399" w14:textId="77777777" w:rsidR="00D400BF" w:rsidRDefault="00D400BF"/>
    <w:p w14:paraId="2D8888FE" w14:textId="77777777" w:rsidR="00D400BF" w:rsidRDefault="00D400BF"/>
  </w:endnote>
  <w:endnote w:type="continuationNotice" w:id="1">
    <w:p w14:paraId="0EF85EF2" w14:textId="77777777" w:rsidR="00D400BF" w:rsidRDefault="00D40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5181207"/>
      <w:docPartObj>
        <w:docPartGallery w:val="Page Numbers (Bottom of Page)"/>
        <w:docPartUnique/>
      </w:docPartObj>
    </w:sdtPr>
    <w:sdtEndPr>
      <w:rPr>
        <w:rStyle w:val="PageNumber"/>
      </w:rPr>
    </w:sdtEndPr>
    <w:sdtContent>
      <w:p w14:paraId="60E87B54" w14:textId="415B5C4B" w:rsidR="00B84334" w:rsidRDefault="00B84334" w:rsidP="00D478F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D6528A">
          <w:rPr>
            <w:rStyle w:val="PageNumber"/>
            <w:noProof/>
          </w:rPr>
          <w:t>1</w:t>
        </w:r>
        <w:r>
          <w:rPr>
            <w:rStyle w:val="PageNumber"/>
          </w:rPr>
          <w:fldChar w:fldCharType="end"/>
        </w:r>
      </w:p>
    </w:sdtContent>
  </w:sdt>
  <w:p w14:paraId="51D02C2B" w14:textId="77777777" w:rsidR="00B84334" w:rsidRDefault="00B84334" w:rsidP="003B304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venir Next LT Pro Demi" w:hAnsi="Avenir Next LT Pro Demi"/>
      </w:rPr>
      <w:id w:val="1485662151"/>
      <w:docPartObj>
        <w:docPartGallery w:val="Page Numbers (Bottom of Page)"/>
        <w:docPartUnique/>
      </w:docPartObj>
    </w:sdtPr>
    <w:sdtEndPr>
      <w:rPr>
        <w:rStyle w:val="PageNumber"/>
      </w:rPr>
    </w:sdtEndPr>
    <w:sdtContent>
      <w:p w14:paraId="0E5115A1" w14:textId="77777777" w:rsidR="00B84334" w:rsidRPr="006A076A" w:rsidRDefault="00B84334" w:rsidP="003A6646">
        <w:pPr>
          <w:pStyle w:val="Footer"/>
          <w:framePr w:wrap="none" w:vAnchor="text" w:hAnchor="page" w:x="1155" w:y="-9"/>
          <w:rPr>
            <w:rStyle w:val="PageNumber"/>
            <w:rFonts w:ascii="Avenir Next LT Pro Demi" w:hAnsi="Avenir Next LT Pro Demi"/>
          </w:rPr>
        </w:pPr>
      </w:p>
      <w:p w14:paraId="57B7830D" w14:textId="7AA6D645" w:rsidR="00B84334" w:rsidRPr="006A076A" w:rsidRDefault="00B84334" w:rsidP="003A6646">
        <w:pPr>
          <w:pStyle w:val="Footer"/>
          <w:framePr w:wrap="none" w:vAnchor="text" w:hAnchor="page" w:x="1155" w:y="-9"/>
          <w:rPr>
            <w:rStyle w:val="PageNumber"/>
            <w:rFonts w:ascii="Avenir Next LT Pro Demi" w:hAnsi="Avenir Next LT Pro Demi"/>
          </w:rPr>
        </w:pPr>
        <w:r w:rsidRPr="006A076A">
          <w:rPr>
            <w:rStyle w:val="PageNumber"/>
            <w:rFonts w:ascii="Avenir Next LT Pro Demi" w:hAnsi="Avenir Next LT Pro Demi"/>
            <w:sz w:val="14"/>
            <w:szCs w:val="14"/>
          </w:rPr>
          <w:fldChar w:fldCharType="begin"/>
        </w:r>
        <w:r w:rsidRPr="006A076A">
          <w:rPr>
            <w:rStyle w:val="PageNumber"/>
            <w:rFonts w:ascii="Avenir Next LT Pro Demi" w:hAnsi="Avenir Next LT Pro Demi"/>
            <w:sz w:val="14"/>
            <w:szCs w:val="14"/>
          </w:rPr>
          <w:instrText xml:space="preserve"> PAGE </w:instrText>
        </w:r>
        <w:r w:rsidRPr="006A076A">
          <w:rPr>
            <w:rStyle w:val="PageNumber"/>
            <w:rFonts w:ascii="Avenir Next LT Pro Demi" w:hAnsi="Avenir Next LT Pro Demi"/>
            <w:sz w:val="14"/>
            <w:szCs w:val="14"/>
          </w:rPr>
          <w:fldChar w:fldCharType="separate"/>
        </w:r>
        <w:r w:rsidR="000536AE">
          <w:rPr>
            <w:rStyle w:val="PageNumber"/>
            <w:rFonts w:ascii="Avenir Next LT Pro Demi" w:hAnsi="Avenir Next LT Pro Demi"/>
            <w:noProof/>
            <w:sz w:val="14"/>
            <w:szCs w:val="14"/>
          </w:rPr>
          <w:t>4</w:t>
        </w:r>
        <w:r w:rsidRPr="006A076A">
          <w:rPr>
            <w:rStyle w:val="PageNumber"/>
            <w:rFonts w:ascii="Avenir Next LT Pro Demi" w:hAnsi="Avenir Next LT Pro Demi"/>
            <w:sz w:val="14"/>
            <w:szCs w:val="14"/>
          </w:rPr>
          <w:fldChar w:fldCharType="end"/>
        </w:r>
      </w:p>
    </w:sdtContent>
  </w:sdt>
  <w:p w14:paraId="362B6117" w14:textId="77777777" w:rsidR="00B84334" w:rsidRDefault="00B84334" w:rsidP="003B3040">
    <w:pPr>
      <w:spacing w:before="240"/>
      <w:ind w:firstLine="360"/>
      <w:jc w:val="right"/>
    </w:pPr>
    <w:r>
      <w:rPr>
        <w:noProof/>
      </w:rPr>
      <w:drawing>
        <wp:anchor distT="0" distB="0" distL="114300" distR="114300" simplePos="0" relativeHeight="251658240" behindDoc="1" locked="0" layoutInCell="1" allowOverlap="1" wp14:anchorId="4B4811F2" wp14:editId="2AFF5EE5">
          <wp:simplePos x="0" y="0"/>
          <wp:positionH relativeFrom="column">
            <wp:posOffset>4337685</wp:posOffset>
          </wp:positionH>
          <wp:positionV relativeFrom="page">
            <wp:posOffset>9731375</wp:posOffset>
          </wp:positionV>
          <wp:extent cx="2191385" cy="757127"/>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191385" cy="757127"/>
                  </a:xfrm>
                  <a:prstGeom prst="rect">
                    <a:avLst/>
                  </a:prstGeom>
                </pic:spPr>
              </pic:pic>
            </a:graphicData>
          </a:graphic>
          <wp14:sizeRelH relativeFrom="page">
            <wp14:pctWidth>0</wp14:pctWidth>
          </wp14:sizeRelH>
          <wp14:sizeRelV relativeFrom="page">
            <wp14:pctHeight>0</wp14:pctHeight>
          </wp14:sizeRelV>
        </wp:anchor>
      </w:drawing>
    </w:r>
  </w:p>
  <w:p w14:paraId="39388141" w14:textId="77777777" w:rsidR="00B84334" w:rsidRPr="00511A8D" w:rsidRDefault="00B84334">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56B9" w14:textId="77777777" w:rsidR="00B84334" w:rsidRDefault="00B84334">
    <w:pPr>
      <w:pStyle w:val="Footer"/>
    </w:pPr>
    <w:r>
      <w:rPr>
        <w:noProof/>
      </w:rPr>
      <w:drawing>
        <wp:anchor distT="0" distB="0" distL="114300" distR="114300" simplePos="0" relativeHeight="251658241" behindDoc="1" locked="0" layoutInCell="1" allowOverlap="1" wp14:anchorId="47A50670" wp14:editId="61434E48">
          <wp:simplePos x="0" y="0"/>
          <wp:positionH relativeFrom="column">
            <wp:posOffset>461010</wp:posOffset>
          </wp:positionH>
          <wp:positionV relativeFrom="page">
            <wp:posOffset>8159115</wp:posOffset>
          </wp:positionV>
          <wp:extent cx="6115050" cy="210475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rcRect t="1131" b="1131"/>
                  <a:stretch>
                    <a:fillRect/>
                  </a:stretch>
                </pic:blipFill>
                <pic:spPr>
                  <a:xfrm>
                    <a:off x="0" y="0"/>
                    <a:ext cx="6115050" cy="21047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F1EB" w14:textId="77777777" w:rsidR="00D400BF" w:rsidRDefault="00D400BF" w:rsidP="00511A8D">
      <w:r>
        <w:separator/>
      </w:r>
    </w:p>
    <w:p w14:paraId="12A58869" w14:textId="77777777" w:rsidR="00D400BF" w:rsidRDefault="00D400BF"/>
    <w:p w14:paraId="736EE062" w14:textId="77777777" w:rsidR="00D400BF" w:rsidRDefault="00D400BF"/>
    <w:p w14:paraId="7FA3114D" w14:textId="77777777" w:rsidR="00D400BF" w:rsidRDefault="00D400BF"/>
    <w:p w14:paraId="2DDBA0FF" w14:textId="77777777" w:rsidR="00D400BF" w:rsidRDefault="00D400BF"/>
    <w:p w14:paraId="5DBC3160" w14:textId="77777777" w:rsidR="00D400BF" w:rsidRDefault="00D400BF"/>
  </w:footnote>
  <w:footnote w:type="continuationSeparator" w:id="0">
    <w:p w14:paraId="16B3A55B" w14:textId="77777777" w:rsidR="00D400BF" w:rsidRDefault="00D400BF" w:rsidP="00511A8D">
      <w:r>
        <w:continuationSeparator/>
      </w:r>
    </w:p>
    <w:p w14:paraId="04DB406C" w14:textId="77777777" w:rsidR="00D400BF" w:rsidRDefault="00D400BF"/>
    <w:p w14:paraId="6A4310BA" w14:textId="77777777" w:rsidR="00D400BF" w:rsidRDefault="00D400BF"/>
    <w:p w14:paraId="29E590D4" w14:textId="77777777" w:rsidR="00D400BF" w:rsidRDefault="00D400BF"/>
    <w:p w14:paraId="66F1E603" w14:textId="77777777" w:rsidR="00D400BF" w:rsidRDefault="00D400BF"/>
    <w:p w14:paraId="6911E87D" w14:textId="77777777" w:rsidR="00D400BF" w:rsidRDefault="00D400BF"/>
  </w:footnote>
  <w:footnote w:type="continuationNotice" w:id="1">
    <w:p w14:paraId="78D605F3" w14:textId="77777777" w:rsidR="00D400BF" w:rsidRDefault="00D400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4168" w14:textId="77777777" w:rsidR="00B84334" w:rsidRDefault="00B84334" w:rsidP="00C21205">
    <w:pPr>
      <w:spacing w:after="40" w:line="160" w:lineRule="exact"/>
      <w:rPr>
        <w:b/>
        <w:color w:val="53565A" w:themeColor="text1"/>
        <w:sz w:val="16"/>
        <w:szCs w:val="16"/>
      </w:rPr>
    </w:pPr>
    <w:r w:rsidRPr="00C21205">
      <w:rPr>
        <w:b/>
        <w:color w:val="009FE3" w:themeColor="background2"/>
        <w:sz w:val="16"/>
        <w:szCs w:val="16"/>
      </w:rPr>
      <w:t>Document Title</w:t>
    </w:r>
    <w:r w:rsidRPr="00E95BC6">
      <w:rPr>
        <w:b/>
        <w:color w:val="53565A" w:themeColor="text1"/>
        <w:sz w:val="16"/>
        <w:szCs w:val="16"/>
      </w:rPr>
      <w:t xml:space="preserve"> </w:t>
    </w:r>
  </w:p>
  <w:p w14:paraId="5317FC36" w14:textId="77777777" w:rsidR="00B84334" w:rsidRPr="003B3040" w:rsidRDefault="00B84334" w:rsidP="003B3040">
    <w:pPr>
      <w:spacing w:after="40" w:line="160" w:lineRule="exact"/>
      <w:rPr>
        <w:b/>
        <w:color w:val="53565A" w:themeColor="text1"/>
        <w:sz w:val="16"/>
        <w:szCs w:val="16"/>
      </w:rPr>
    </w:pPr>
    <w:r w:rsidRPr="00E95BC6">
      <w:rPr>
        <w:b/>
        <w:color w:val="53565A" w:themeColor="text1"/>
        <w:sz w:val="16"/>
        <w:szCs w:val="16"/>
      </w:rPr>
      <w:t>Subtitle</w:t>
    </w:r>
    <w:r>
      <w:rPr>
        <w:rFonts w:eastAsia="Times New Roman" w:cs="Arial"/>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42AA" w14:textId="6FBF8BDE" w:rsidR="00B84334" w:rsidRPr="006A076A" w:rsidRDefault="004034CD" w:rsidP="00C21205">
    <w:pPr>
      <w:spacing w:after="40" w:line="160" w:lineRule="exact"/>
      <w:rPr>
        <w:rFonts w:ascii="Avenir Next LT Pro Demi" w:hAnsi="Avenir Next LT Pro Demi"/>
        <w:b/>
        <w:color w:val="9FC64D"/>
        <w:sz w:val="16"/>
        <w:szCs w:val="16"/>
      </w:rPr>
    </w:pPr>
    <w:r>
      <w:rPr>
        <w:rFonts w:ascii="Avenir Next LT Pro Demi" w:hAnsi="Avenir Next LT Pro Demi"/>
        <w:b/>
        <w:color w:val="9FC64D"/>
        <w:sz w:val="16"/>
        <w:szCs w:val="16"/>
      </w:rPr>
      <w:t>Annual Report</w:t>
    </w:r>
  </w:p>
  <w:p w14:paraId="4846164D" w14:textId="18854D5F" w:rsidR="00B84334" w:rsidRPr="006A076A" w:rsidRDefault="004034CD" w:rsidP="003B3040">
    <w:pPr>
      <w:spacing w:after="40" w:line="160" w:lineRule="exact"/>
      <w:rPr>
        <w:rFonts w:ascii="Avenir Next LT Pro" w:hAnsi="Avenir Next LT Pro"/>
        <w:b/>
        <w:color w:val="009FE3"/>
        <w:sz w:val="16"/>
        <w:szCs w:val="16"/>
      </w:rPr>
    </w:pPr>
    <w:r>
      <w:rPr>
        <w:rFonts w:ascii="Avenir Next LT Pro" w:hAnsi="Avenir Next LT Pro"/>
        <w:b/>
        <w:color w:val="009FE3"/>
        <w:sz w:val="16"/>
        <w:szCs w:val="16"/>
      </w:rPr>
      <w:t>202</w:t>
    </w:r>
    <w:r w:rsidR="008460F6">
      <w:rPr>
        <w:rFonts w:ascii="Avenir Next LT Pro" w:hAnsi="Avenir Next LT Pro"/>
        <w:b/>
        <w:color w:val="009FE3"/>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D65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16F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5E82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64C79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4B289D10"/>
    <w:lvl w:ilvl="0">
      <w:start w:val="1"/>
      <w:numFmt w:val="decimal"/>
      <w:pStyle w:val="ListNumber"/>
      <w:lvlText w:val="%1."/>
      <w:lvlJc w:val="left"/>
      <w:pPr>
        <w:tabs>
          <w:tab w:val="num" w:pos="360"/>
        </w:tabs>
        <w:ind w:left="360" w:hanging="360"/>
      </w:pPr>
    </w:lvl>
  </w:abstractNum>
  <w:abstractNum w:abstractNumId="5" w15:restartNumberingAfterBreak="0">
    <w:nsid w:val="089D1F2D"/>
    <w:multiLevelType w:val="multilevel"/>
    <w:tmpl w:val="826E155A"/>
    <w:lvl w:ilvl="0">
      <w:start w:val="1"/>
      <w:numFmt w:val="decimal"/>
      <w:pStyle w:val="Heading1"/>
      <w:lvlText w:val="%1."/>
      <w:lvlJc w:val="left"/>
      <w:pPr>
        <w:ind w:left="794" w:hanging="7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805BF4"/>
    <w:multiLevelType w:val="hybridMultilevel"/>
    <w:tmpl w:val="4AFAA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E1590"/>
    <w:multiLevelType w:val="hybridMultilevel"/>
    <w:tmpl w:val="B52AA3A8"/>
    <w:lvl w:ilvl="0" w:tplc="01F80470">
      <w:start w:val="2"/>
      <w:numFmt w:val="bullet"/>
      <w:lvlText w:val="-"/>
      <w:lvlJc w:val="left"/>
      <w:pPr>
        <w:ind w:left="720" w:hanging="360"/>
      </w:pPr>
      <w:rPr>
        <w:rFonts w:ascii="Avenir Next LT Pro" w:eastAsiaTheme="minorHAnsi" w:hAnsi="Avenir Next LT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B7DE3"/>
    <w:multiLevelType w:val="multilevel"/>
    <w:tmpl w:val="049045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ind w:left="794" w:hanging="794"/>
      </w:pPr>
      <w:rPr>
        <w:rFonts w:hint="default"/>
        <w:i w:val="0"/>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686024"/>
    <w:multiLevelType w:val="multilevel"/>
    <w:tmpl w:val="A0A44B4E"/>
    <w:lvl w:ilvl="0">
      <w:start w:val="1"/>
      <w:numFmt w:val="bullet"/>
      <w:pStyle w:val="FirstLevelBullets"/>
      <w:lvlText w:val=""/>
      <w:lvlJc w:val="left"/>
      <w:pPr>
        <w:ind w:left="720" w:hanging="360"/>
      </w:pPr>
      <w:rPr>
        <w:rFonts w:ascii="Wingdings" w:hAnsi="Wingdings" w:hint="default"/>
        <w:color w:val="22428A"/>
      </w:rPr>
    </w:lvl>
    <w:lvl w:ilvl="1">
      <w:start w:val="1"/>
      <w:numFmt w:val="bullet"/>
      <w:pStyle w:val="SecondLevelbullets"/>
      <w:lvlText w:val="-"/>
      <w:lvlJc w:val="left"/>
      <w:pPr>
        <w:ind w:left="1077" w:hanging="357"/>
      </w:pPr>
      <w:rPr>
        <w:rFonts w:ascii="Courier New" w:hAnsi="Courier New" w:hint="default"/>
        <w:color w:val="53565A"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B7371B"/>
    <w:multiLevelType w:val="multilevel"/>
    <w:tmpl w:val="C11CD164"/>
    <w:lvl w:ilvl="0">
      <w:start w:val="1"/>
      <w:numFmt w:val="decimal"/>
      <w:lvlText w:val="%1 "/>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9D3979"/>
    <w:multiLevelType w:val="multilevel"/>
    <w:tmpl w:val="992CD990"/>
    <w:lvl w:ilvl="0">
      <w:start w:val="1"/>
      <w:numFmt w:val="decimal"/>
      <w:pStyle w:val="NumberedLis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BD1C83"/>
    <w:multiLevelType w:val="hybridMultilevel"/>
    <w:tmpl w:val="8904FB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E07390"/>
    <w:multiLevelType w:val="hybridMultilevel"/>
    <w:tmpl w:val="11B0EA52"/>
    <w:lvl w:ilvl="0" w:tplc="0D9C96D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E4C43"/>
    <w:multiLevelType w:val="multilevel"/>
    <w:tmpl w:val="577CAE44"/>
    <w:lvl w:ilvl="0">
      <w:start w:val="1"/>
      <w:numFmt w:val="decimal"/>
      <w:pStyle w:val="Numberedlist0"/>
      <w:lvlText w:val="%1."/>
      <w:lvlJc w:val="left"/>
      <w:pPr>
        <w:ind w:left="720" w:hanging="360"/>
      </w:pPr>
      <w:rPr>
        <w:rFonts w:hint="default"/>
        <w:color w:val="22428A"/>
      </w:rPr>
    </w:lvl>
    <w:lvl w:ilvl="1">
      <w:start w:val="1"/>
      <w:numFmt w:val="bullet"/>
      <w:lvlText w:val="-"/>
      <w:lvlJc w:val="left"/>
      <w:pPr>
        <w:ind w:left="1077" w:hanging="357"/>
      </w:pPr>
      <w:rPr>
        <w:rFonts w:ascii="Courier New" w:hAnsi="Courier New" w:hint="default"/>
        <w:color w:val="53565A"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0839245">
    <w:abstractNumId w:val="9"/>
  </w:num>
  <w:num w:numId="2" w16cid:durableId="309755763">
    <w:abstractNumId w:val="0"/>
  </w:num>
  <w:num w:numId="3" w16cid:durableId="778985871">
    <w:abstractNumId w:val="1"/>
  </w:num>
  <w:num w:numId="4" w16cid:durableId="68312816">
    <w:abstractNumId w:val="2"/>
  </w:num>
  <w:num w:numId="5" w16cid:durableId="1895921781">
    <w:abstractNumId w:val="3"/>
  </w:num>
  <w:num w:numId="6" w16cid:durableId="605845620">
    <w:abstractNumId w:val="4"/>
  </w:num>
  <w:num w:numId="7" w16cid:durableId="1753509298">
    <w:abstractNumId w:val="5"/>
  </w:num>
  <w:num w:numId="8" w16cid:durableId="1981566770">
    <w:abstractNumId w:val="10"/>
  </w:num>
  <w:num w:numId="9" w16cid:durableId="1442799957">
    <w:abstractNumId w:val="11"/>
  </w:num>
  <w:num w:numId="10" w16cid:durableId="121002251">
    <w:abstractNumId w:val="8"/>
  </w:num>
  <w:num w:numId="11" w16cid:durableId="2132480982">
    <w:abstractNumId w:val="14"/>
  </w:num>
  <w:num w:numId="12" w16cid:durableId="2131822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3115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9390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7840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8358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55955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8621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5007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1626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35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0938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9936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7487339">
    <w:abstractNumId w:val="12"/>
  </w:num>
  <w:num w:numId="25" w16cid:durableId="1243955402">
    <w:abstractNumId w:val="13"/>
  </w:num>
  <w:num w:numId="26" w16cid:durableId="289091480">
    <w:abstractNumId w:val="6"/>
  </w:num>
  <w:num w:numId="27" w16cid:durableId="100501667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28A"/>
    <w:rsid w:val="0000026A"/>
    <w:rsid w:val="000032B2"/>
    <w:rsid w:val="0001224B"/>
    <w:rsid w:val="00021167"/>
    <w:rsid w:val="00034E0D"/>
    <w:rsid w:val="000536AE"/>
    <w:rsid w:val="00053A7E"/>
    <w:rsid w:val="00061F20"/>
    <w:rsid w:val="000634C4"/>
    <w:rsid w:val="0006541F"/>
    <w:rsid w:val="00066ED3"/>
    <w:rsid w:val="00070493"/>
    <w:rsid w:val="00073692"/>
    <w:rsid w:val="000939F2"/>
    <w:rsid w:val="000A17BB"/>
    <w:rsid w:val="000A2C3E"/>
    <w:rsid w:val="000B5C04"/>
    <w:rsid w:val="000C0B87"/>
    <w:rsid w:val="000C67F2"/>
    <w:rsid w:val="000D2B8E"/>
    <w:rsid w:val="000D5A19"/>
    <w:rsid w:val="00110120"/>
    <w:rsid w:val="001161E5"/>
    <w:rsid w:val="00125180"/>
    <w:rsid w:val="00133775"/>
    <w:rsid w:val="0014138F"/>
    <w:rsid w:val="00147E9C"/>
    <w:rsid w:val="001518FD"/>
    <w:rsid w:val="00155F4E"/>
    <w:rsid w:val="0016431E"/>
    <w:rsid w:val="0016761A"/>
    <w:rsid w:val="00176D0A"/>
    <w:rsid w:val="00186A9A"/>
    <w:rsid w:val="00191039"/>
    <w:rsid w:val="00193E74"/>
    <w:rsid w:val="00196694"/>
    <w:rsid w:val="001A1506"/>
    <w:rsid w:val="001A1572"/>
    <w:rsid w:val="001A1BDE"/>
    <w:rsid w:val="001A265F"/>
    <w:rsid w:val="001B1B17"/>
    <w:rsid w:val="001B661D"/>
    <w:rsid w:val="001C1856"/>
    <w:rsid w:val="001E0586"/>
    <w:rsid w:val="001F2934"/>
    <w:rsid w:val="001F3CEB"/>
    <w:rsid w:val="001F47C9"/>
    <w:rsid w:val="002003F0"/>
    <w:rsid w:val="00203F4F"/>
    <w:rsid w:val="00207FFC"/>
    <w:rsid w:val="002100A0"/>
    <w:rsid w:val="00213692"/>
    <w:rsid w:val="00213DB2"/>
    <w:rsid w:val="00234F15"/>
    <w:rsid w:val="00235D6B"/>
    <w:rsid w:val="00236735"/>
    <w:rsid w:val="00245673"/>
    <w:rsid w:val="00250C08"/>
    <w:rsid w:val="00262255"/>
    <w:rsid w:val="00266C77"/>
    <w:rsid w:val="00266F48"/>
    <w:rsid w:val="00276624"/>
    <w:rsid w:val="002804BB"/>
    <w:rsid w:val="002859D5"/>
    <w:rsid w:val="002A7DE9"/>
    <w:rsid w:val="002B01C1"/>
    <w:rsid w:val="002B02D7"/>
    <w:rsid w:val="002C05DE"/>
    <w:rsid w:val="002C09AD"/>
    <w:rsid w:val="002C10A9"/>
    <w:rsid w:val="002C2DF7"/>
    <w:rsid w:val="002F7B71"/>
    <w:rsid w:val="00303466"/>
    <w:rsid w:val="00304D55"/>
    <w:rsid w:val="00312250"/>
    <w:rsid w:val="00317F18"/>
    <w:rsid w:val="00320F8B"/>
    <w:rsid w:val="00322C5E"/>
    <w:rsid w:val="003258B3"/>
    <w:rsid w:val="00331993"/>
    <w:rsid w:val="003350B6"/>
    <w:rsid w:val="003373D2"/>
    <w:rsid w:val="00340C96"/>
    <w:rsid w:val="00353CF7"/>
    <w:rsid w:val="00364C7C"/>
    <w:rsid w:val="00367261"/>
    <w:rsid w:val="0037278A"/>
    <w:rsid w:val="003832ED"/>
    <w:rsid w:val="00387212"/>
    <w:rsid w:val="00390A30"/>
    <w:rsid w:val="0039349C"/>
    <w:rsid w:val="003935EE"/>
    <w:rsid w:val="003A38AD"/>
    <w:rsid w:val="003A6646"/>
    <w:rsid w:val="003A691E"/>
    <w:rsid w:val="003A7F6F"/>
    <w:rsid w:val="003B3040"/>
    <w:rsid w:val="003B4063"/>
    <w:rsid w:val="003B5EFD"/>
    <w:rsid w:val="003C4740"/>
    <w:rsid w:val="003C555B"/>
    <w:rsid w:val="003F5167"/>
    <w:rsid w:val="003F7B75"/>
    <w:rsid w:val="00400805"/>
    <w:rsid w:val="004034CD"/>
    <w:rsid w:val="0041109C"/>
    <w:rsid w:val="0041393E"/>
    <w:rsid w:val="00421891"/>
    <w:rsid w:val="00422D73"/>
    <w:rsid w:val="00430204"/>
    <w:rsid w:val="00430D7D"/>
    <w:rsid w:val="00433052"/>
    <w:rsid w:val="004341DC"/>
    <w:rsid w:val="00443117"/>
    <w:rsid w:val="00444624"/>
    <w:rsid w:val="004521EE"/>
    <w:rsid w:val="00454528"/>
    <w:rsid w:val="0047117D"/>
    <w:rsid w:val="00474EFB"/>
    <w:rsid w:val="004765A3"/>
    <w:rsid w:val="004807E6"/>
    <w:rsid w:val="00481E86"/>
    <w:rsid w:val="00494F62"/>
    <w:rsid w:val="004A253C"/>
    <w:rsid w:val="004A7152"/>
    <w:rsid w:val="004B339A"/>
    <w:rsid w:val="004C00BB"/>
    <w:rsid w:val="004C629D"/>
    <w:rsid w:val="004C6DE7"/>
    <w:rsid w:val="004D2A1F"/>
    <w:rsid w:val="004D6B4F"/>
    <w:rsid w:val="004F12B7"/>
    <w:rsid w:val="004F7E6C"/>
    <w:rsid w:val="00511A8D"/>
    <w:rsid w:val="00515978"/>
    <w:rsid w:val="005160BB"/>
    <w:rsid w:val="00524096"/>
    <w:rsid w:val="00531B16"/>
    <w:rsid w:val="00532C1A"/>
    <w:rsid w:val="005335C2"/>
    <w:rsid w:val="005356B3"/>
    <w:rsid w:val="00535E65"/>
    <w:rsid w:val="00543CEF"/>
    <w:rsid w:val="00557C96"/>
    <w:rsid w:val="00574466"/>
    <w:rsid w:val="0057472A"/>
    <w:rsid w:val="0058255B"/>
    <w:rsid w:val="00582F0E"/>
    <w:rsid w:val="00593AB0"/>
    <w:rsid w:val="005966B4"/>
    <w:rsid w:val="005A5700"/>
    <w:rsid w:val="005A7C50"/>
    <w:rsid w:val="005B5B43"/>
    <w:rsid w:val="005C32AE"/>
    <w:rsid w:val="005C58E5"/>
    <w:rsid w:val="005D1E94"/>
    <w:rsid w:val="005D7C2E"/>
    <w:rsid w:val="005F387D"/>
    <w:rsid w:val="00614DC6"/>
    <w:rsid w:val="00622FEC"/>
    <w:rsid w:val="00624A2F"/>
    <w:rsid w:val="00626DF5"/>
    <w:rsid w:val="00632BBE"/>
    <w:rsid w:val="00641EF4"/>
    <w:rsid w:val="00642E59"/>
    <w:rsid w:val="00643D1B"/>
    <w:rsid w:val="0064659E"/>
    <w:rsid w:val="0064761B"/>
    <w:rsid w:val="006519B5"/>
    <w:rsid w:val="00655C6C"/>
    <w:rsid w:val="0066015D"/>
    <w:rsid w:val="00661025"/>
    <w:rsid w:val="00663AA8"/>
    <w:rsid w:val="006671D6"/>
    <w:rsid w:val="0066736A"/>
    <w:rsid w:val="00676854"/>
    <w:rsid w:val="00686DA0"/>
    <w:rsid w:val="00697AD5"/>
    <w:rsid w:val="006A05E7"/>
    <w:rsid w:val="006A076A"/>
    <w:rsid w:val="006A27B1"/>
    <w:rsid w:val="006B0420"/>
    <w:rsid w:val="006B26AD"/>
    <w:rsid w:val="006B2AAD"/>
    <w:rsid w:val="006B434E"/>
    <w:rsid w:val="006B579D"/>
    <w:rsid w:val="006C4DF1"/>
    <w:rsid w:val="006C5AA3"/>
    <w:rsid w:val="006D26BD"/>
    <w:rsid w:val="006D45D3"/>
    <w:rsid w:val="006E0B4F"/>
    <w:rsid w:val="006E3578"/>
    <w:rsid w:val="006F7B78"/>
    <w:rsid w:val="00721234"/>
    <w:rsid w:val="00726DAE"/>
    <w:rsid w:val="00732FA3"/>
    <w:rsid w:val="00737383"/>
    <w:rsid w:val="00737769"/>
    <w:rsid w:val="00740B8B"/>
    <w:rsid w:val="00744B99"/>
    <w:rsid w:val="00761B59"/>
    <w:rsid w:val="007646FF"/>
    <w:rsid w:val="007653B0"/>
    <w:rsid w:val="007769A0"/>
    <w:rsid w:val="0078237C"/>
    <w:rsid w:val="00790644"/>
    <w:rsid w:val="007A2068"/>
    <w:rsid w:val="007A39EC"/>
    <w:rsid w:val="007A51BA"/>
    <w:rsid w:val="007B1834"/>
    <w:rsid w:val="007C1598"/>
    <w:rsid w:val="007C2AEE"/>
    <w:rsid w:val="007C4267"/>
    <w:rsid w:val="007C4D00"/>
    <w:rsid w:val="007C7C68"/>
    <w:rsid w:val="007D35D0"/>
    <w:rsid w:val="007D3A80"/>
    <w:rsid w:val="007D3BD8"/>
    <w:rsid w:val="007E111F"/>
    <w:rsid w:val="007F601F"/>
    <w:rsid w:val="00801F40"/>
    <w:rsid w:val="0081191A"/>
    <w:rsid w:val="00815571"/>
    <w:rsid w:val="008171EB"/>
    <w:rsid w:val="00825108"/>
    <w:rsid w:val="00834DEE"/>
    <w:rsid w:val="00836430"/>
    <w:rsid w:val="00841516"/>
    <w:rsid w:val="00842B1A"/>
    <w:rsid w:val="00843946"/>
    <w:rsid w:val="008460F6"/>
    <w:rsid w:val="00847BB5"/>
    <w:rsid w:val="008501EB"/>
    <w:rsid w:val="00855B6C"/>
    <w:rsid w:val="00856B48"/>
    <w:rsid w:val="008728AA"/>
    <w:rsid w:val="00873FC0"/>
    <w:rsid w:val="00874458"/>
    <w:rsid w:val="00887A93"/>
    <w:rsid w:val="008B0360"/>
    <w:rsid w:val="008B30DD"/>
    <w:rsid w:val="008B6F0E"/>
    <w:rsid w:val="008B78D4"/>
    <w:rsid w:val="008C41AE"/>
    <w:rsid w:val="008C49DC"/>
    <w:rsid w:val="008F5EF0"/>
    <w:rsid w:val="009001E7"/>
    <w:rsid w:val="00911662"/>
    <w:rsid w:val="00915BB0"/>
    <w:rsid w:val="009328B0"/>
    <w:rsid w:val="0095258F"/>
    <w:rsid w:val="0096733A"/>
    <w:rsid w:val="0097110C"/>
    <w:rsid w:val="009A64DF"/>
    <w:rsid w:val="009B4E31"/>
    <w:rsid w:val="009B586B"/>
    <w:rsid w:val="009C5606"/>
    <w:rsid w:val="009D35C4"/>
    <w:rsid w:val="009D5F5D"/>
    <w:rsid w:val="009D79A6"/>
    <w:rsid w:val="009E10A6"/>
    <w:rsid w:val="009E38CD"/>
    <w:rsid w:val="009E6AE1"/>
    <w:rsid w:val="009E7FCE"/>
    <w:rsid w:val="009F6A86"/>
    <w:rsid w:val="009F6BA9"/>
    <w:rsid w:val="00A00360"/>
    <w:rsid w:val="00A077DF"/>
    <w:rsid w:val="00A11E3F"/>
    <w:rsid w:val="00A244BA"/>
    <w:rsid w:val="00A31F35"/>
    <w:rsid w:val="00A370BF"/>
    <w:rsid w:val="00A45C96"/>
    <w:rsid w:val="00A54FFA"/>
    <w:rsid w:val="00A6229C"/>
    <w:rsid w:val="00A702E7"/>
    <w:rsid w:val="00A85D94"/>
    <w:rsid w:val="00A93FBB"/>
    <w:rsid w:val="00A9412E"/>
    <w:rsid w:val="00AA1364"/>
    <w:rsid w:val="00AB7F2D"/>
    <w:rsid w:val="00AC0538"/>
    <w:rsid w:val="00AD4C71"/>
    <w:rsid w:val="00AE4174"/>
    <w:rsid w:val="00AF464C"/>
    <w:rsid w:val="00AF76D1"/>
    <w:rsid w:val="00AF7A9E"/>
    <w:rsid w:val="00B045F6"/>
    <w:rsid w:val="00B05A3D"/>
    <w:rsid w:val="00B12396"/>
    <w:rsid w:val="00B13CD7"/>
    <w:rsid w:val="00B17B5B"/>
    <w:rsid w:val="00B3563A"/>
    <w:rsid w:val="00B35CF4"/>
    <w:rsid w:val="00B41CDE"/>
    <w:rsid w:val="00B507A4"/>
    <w:rsid w:val="00B64CB2"/>
    <w:rsid w:val="00B67C8A"/>
    <w:rsid w:val="00B84334"/>
    <w:rsid w:val="00B90F63"/>
    <w:rsid w:val="00B92FA3"/>
    <w:rsid w:val="00B95260"/>
    <w:rsid w:val="00B97B22"/>
    <w:rsid w:val="00BA4CE0"/>
    <w:rsid w:val="00BB3BB5"/>
    <w:rsid w:val="00BB4775"/>
    <w:rsid w:val="00BB7161"/>
    <w:rsid w:val="00BC075F"/>
    <w:rsid w:val="00BC1F15"/>
    <w:rsid w:val="00BD2638"/>
    <w:rsid w:val="00BE11E1"/>
    <w:rsid w:val="00BE14DF"/>
    <w:rsid w:val="00BE1EC0"/>
    <w:rsid w:val="00BE4AEB"/>
    <w:rsid w:val="00BF1E3D"/>
    <w:rsid w:val="00C02FC8"/>
    <w:rsid w:val="00C06018"/>
    <w:rsid w:val="00C06DAA"/>
    <w:rsid w:val="00C0772E"/>
    <w:rsid w:val="00C07B19"/>
    <w:rsid w:val="00C1092A"/>
    <w:rsid w:val="00C1173C"/>
    <w:rsid w:val="00C13427"/>
    <w:rsid w:val="00C13C5C"/>
    <w:rsid w:val="00C20C67"/>
    <w:rsid w:val="00C21205"/>
    <w:rsid w:val="00C236B1"/>
    <w:rsid w:val="00C23A02"/>
    <w:rsid w:val="00C3530D"/>
    <w:rsid w:val="00C4061D"/>
    <w:rsid w:val="00C41C39"/>
    <w:rsid w:val="00C422F4"/>
    <w:rsid w:val="00C476D7"/>
    <w:rsid w:val="00C477A6"/>
    <w:rsid w:val="00C62BC3"/>
    <w:rsid w:val="00C62D2B"/>
    <w:rsid w:val="00C6365F"/>
    <w:rsid w:val="00C67848"/>
    <w:rsid w:val="00C707B2"/>
    <w:rsid w:val="00C7377F"/>
    <w:rsid w:val="00C76302"/>
    <w:rsid w:val="00C801EB"/>
    <w:rsid w:val="00C8638D"/>
    <w:rsid w:val="00CA207A"/>
    <w:rsid w:val="00CA629B"/>
    <w:rsid w:val="00CA7316"/>
    <w:rsid w:val="00CB0D3C"/>
    <w:rsid w:val="00CB3E3A"/>
    <w:rsid w:val="00CC3F7E"/>
    <w:rsid w:val="00CD3403"/>
    <w:rsid w:val="00CE75E2"/>
    <w:rsid w:val="00CF20A1"/>
    <w:rsid w:val="00CF3409"/>
    <w:rsid w:val="00CF455B"/>
    <w:rsid w:val="00D01812"/>
    <w:rsid w:val="00D13192"/>
    <w:rsid w:val="00D14589"/>
    <w:rsid w:val="00D15C97"/>
    <w:rsid w:val="00D16B91"/>
    <w:rsid w:val="00D17847"/>
    <w:rsid w:val="00D22F4F"/>
    <w:rsid w:val="00D400BF"/>
    <w:rsid w:val="00D478F2"/>
    <w:rsid w:val="00D60AAD"/>
    <w:rsid w:val="00D6528A"/>
    <w:rsid w:val="00D65BED"/>
    <w:rsid w:val="00D661F0"/>
    <w:rsid w:val="00D67258"/>
    <w:rsid w:val="00D673A0"/>
    <w:rsid w:val="00D71D6D"/>
    <w:rsid w:val="00D74192"/>
    <w:rsid w:val="00D977C1"/>
    <w:rsid w:val="00D97A01"/>
    <w:rsid w:val="00DA3A29"/>
    <w:rsid w:val="00DA63E5"/>
    <w:rsid w:val="00DC001D"/>
    <w:rsid w:val="00DC1670"/>
    <w:rsid w:val="00DC1DF4"/>
    <w:rsid w:val="00DD0BDC"/>
    <w:rsid w:val="00DD3204"/>
    <w:rsid w:val="00DD395B"/>
    <w:rsid w:val="00DD5916"/>
    <w:rsid w:val="00DE0341"/>
    <w:rsid w:val="00DE64C5"/>
    <w:rsid w:val="00DF2415"/>
    <w:rsid w:val="00E05EFC"/>
    <w:rsid w:val="00E24269"/>
    <w:rsid w:val="00E251D4"/>
    <w:rsid w:val="00E30BD9"/>
    <w:rsid w:val="00E315D9"/>
    <w:rsid w:val="00E43128"/>
    <w:rsid w:val="00E4405C"/>
    <w:rsid w:val="00E61070"/>
    <w:rsid w:val="00E667F7"/>
    <w:rsid w:val="00E766EB"/>
    <w:rsid w:val="00E80D87"/>
    <w:rsid w:val="00E832C6"/>
    <w:rsid w:val="00E95400"/>
    <w:rsid w:val="00E95BC6"/>
    <w:rsid w:val="00E96E19"/>
    <w:rsid w:val="00EA4276"/>
    <w:rsid w:val="00EA4BED"/>
    <w:rsid w:val="00EA63E7"/>
    <w:rsid w:val="00EB5C03"/>
    <w:rsid w:val="00EC22F1"/>
    <w:rsid w:val="00EC3597"/>
    <w:rsid w:val="00EE2629"/>
    <w:rsid w:val="00EE2D4B"/>
    <w:rsid w:val="00EE63AF"/>
    <w:rsid w:val="00EF306A"/>
    <w:rsid w:val="00F015C0"/>
    <w:rsid w:val="00F04F96"/>
    <w:rsid w:val="00F063D9"/>
    <w:rsid w:val="00F241E0"/>
    <w:rsid w:val="00F24219"/>
    <w:rsid w:val="00F26235"/>
    <w:rsid w:val="00F307C8"/>
    <w:rsid w:val="00F334EA"/>
    <w:rsid w:val="00F33656"/>
    <w:rsid w:val="00F435B2"/>
    <w:rsid w:val="00F518E3"/>
    <w:rsid w:val="00F61CAE"/>
    <w:rsid w:val="00F665C0"/>
    <w:rsid w:val="00F70868"/>
    <w:rsid w:val="00F71329"/>
    <w:rsid w:val="00F74340"/>
    <w:rsid w:val="00F77607"/>
    <w:rsid w:val="00F8225F"/>
    <w:rsid w:val="00F920B0"/>
    <w:rsid w:val="00FA681A"/>
    <w:rsid w:val="00FA75F0"/>
    <w:rsid w:val="00FB2AA4"/>
    <w:rsid w:val="00FB303C"/>
    <w:rsid w:val="00FC05A4"/>
    <w:rsid w:val="00FC22BD"/>
    <w:rsid w:val="00FC7758"/>
    <w:rsid w:val="00FD77EC"/>
    <w:rsid w:val="00FE78A6"/>
    <w:rsid w:val="00FF6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3363F"/>
  <w15:chartTrackingRefBased/>
  <w15:docId w15:val="{AFDF00CF-321F-4000-AE8E-4F19A6E5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1A8D"/>
    <w:rPr>
      <w:rFonts w:ascii="Arial" w:hAnsi="Arial"/>
      <w:sz w:val="24"/>
      <w:lang w:eastAsia="en-GB"/>
    </w:rPr>
  </w:style>
  <w:style w:type="paragraph" w:styleId="Heading1">
    <w:name w:val="heading 1"/>
    <w:basedOn w:val="Normal"/>
    <w:next w:val="Normal"/>
    <w:link w:val="Heading1Char"/>
    <w:qFormat/>
    <w:rsid w:val="00FA75F0"/>
    <w:pPr>
      <w:numPr>
        <w:numId w:val="7"/>
      </w:numPr>
      <w:spacing w:after="180"/>
      <w:outlineLvl w:val="0"/>
    </w:pPr>
    <w:rPr>
      <w:rFonts w:ascii="Avenir Next LT Pro Demi" w:eastAsia="Calibri" w:hAnsi="Avenir Next LT Pro Demi"/>
      <w:b/>
      <w:color w:val="9FC64D"/>
      <w:sz w:val="40"/>
      <w:szCs w:val="22"/>
      <w:lang w:eastAsia="en-US"/>
    </w:rPr>
  </w:style>
  <w:style w:type="paragraph" w:styleId="Heading2">
    <w:name w:val="heading 2"/>
    <w:basedOn w:val="Normal"/>
    <w:next w:val="Normal"/>
    <w:link w:val="Heading2Char"/>
    <w:qFormat/>
    <w:rsid w:val="0016761A"/>
    <w:pPr>
      <w:numPr>
        <w:ilvl w:val="1"/>
        <w:numId w:val="8"/>
      </w:numPr>
      <w:spacing w:after="260"/>
      <w:outlineLvl w:val="1"/>
    </w:pPr>
    <w:rPr>
      <w:rFonts w:ascii="Avenir Next LT Pro" w:eastAsia="Calibri" w:hAnsi="Avenir Next LT Pro" w:cs="Arial"/>
      <w:b/>
      <w:color w:val="009FE3"/>
      <w:sz w:val="32"/>
      <w:szCs w:val="32"/>
      <w:lang w:eastAsia="en-US"/>
    </w:rPr>
  </w:style>
  <w:style w:type="paragraph" w:styleId="Heading3">
    <w:name w:val="heading 3"/>
    <w:basedOn w:val="Normal"/>
    <w:next w:val="Normal"/>
    <w:link w:val="Heading3Char"/>
    <w:unhideWhenUsed/>
    <w:qFormat/>
    <w:rsid w:val="00FA75F0"/>
    <w:pPr>
      <w:numPr>
        <w:ilvl w:val="2"/>
        <w:numId w:val="10"/>
      </w:numPr>
      <w:spacing w:after="80" w:line="260" w:lineRule="exact"/>
      <w:outlineLvl w:val="2"/>
    </w:pPr>
    <w:rPr>
      <w:rFonts w:ascii="Avenir Next LT Pro" w:eastAsia="Calibri" w:hAnsi="Avenir Next LT Pro"/>
      <w:color w:val="009FE3"/>
      <w:szCs w:val="24"/>
      <w:lang w:eastAsia="en-US"/>
    </w:rPr>
  </w:style>
  <w:style w:type="paragraph" w:styleId="Heading4">
    <w:name w:val="heading 4"/>
    <w:basedOn w:val="Normal"/>
    <w:next w:val="Normal"/>
    <w:link w:val="Heading4Char"/>
    <w:uiPriority w:val="9"/>
    <w:unhideWhenUsed/>
    <w:qFormat/>
    <w:rsid w:val="00DD3204"/>
    <w:pPr>
      <w:keepNext/>
      <w:keepLines/>
      <w:spacing w:before="40"/>
      <w:outlineLvl w:val="3"/>
    </w:pPr>
    <w:rPr>
      <w:rFonts w:asciiTheme="majorHAnsi" w:eastAsiaTheme="majorEastAsia" w:hAnsiTheme="majorHAnsi" w:cstheme="majorBidi"/>
      <w:i/>
      <w:iCs/>
      <w:color w:val="276EA1" w:themeColor="accent1" w:themeShade="BF"/>
    </w:rPr>
  </w:style>
  <w:style w:type="paragraph" w:styleId="Heading6">
    <w:name w:val="heading 6"/>
    <w:basedOn w:val="Normal"/>
    <w:next w:val="Normal"/>
    <w:link w:val="Heading6Char"/>
    <w:uiPriority w:val="9"/>
    <w:semiHidden/>
    <w:unhideWhenUsed/>
    <w:qFormat/>
    <w:rsid w:val="009C5606"/>
    <w:pPr>
      <w:keepNext/>
      <w:keepLines/>
      <w:spacing w:before="40"/>
      <w:outlineLvl w:val="5"/>
    </w:pPr>
    <w:rPr>
      <w:rFonts w:asciiTheme="majorHAnsi" w:eastAsiaTheme="majorEastAsia" w:hAnsiTheme="majorHAnsi" w:cstheme="majorBidi"/>
      <w:color w:val="1A496B" w:themeColor="accent1" w:themeShade="7F"/>
    </w:rPr>
  </w:style>
  <w:style w:type="paragraph" w:styleId="Heading8">
    <w:name w:val="heading 8"/>
    <w:basedOn w:val="Normal"/>
    <w:next w:val="Normal"/>
    <w:link w:val="Heading8Char"/>
    <w:uiPriority w:val="9"/>
    <w:semiHidden/>
    <w:unhideWhenUsed/>
    <w:qFormat/>
    <w:rsid w:val="00B84334"/>
    <w:pPr>
      <w:keepNext/>
      <w:keepLines/>
      <w:spacing w:before="40"/>
      <w:outlineLvl w:val="7"/>
    </w:pPr>
    <w:rPr>
      <w:rFonts w:asciiTheme="majorHAnsi" w:eastAsiaTheme="majorEastAsia" w:hAnsiTheme="majorHAnsi" w:cstheme="majorBidi"/>
      <w:color w:val="6B6F74" w:themeColor="text1" w:themeTint="D8"/>
      <w:sz w:val="21"/>
      <w:szCs w:val="21"/>
    </w:rPr>
  </w:style>
  <w:style w:type="paragraph" w:styleId="Heading9">
    <w:name w:val="heading 9"/>
    <w:basedOn w:val="Normal"/>
    <w:next w:val="Normal"/>
    <w:link w:val="Heading9Char"/>
    <w:uiPriority w:val="9"/>
    <w:semiHidden/>
    <w:unhideWhenUsed/>
    <w:qFormat/>
    <w:rsid w:val="00B84334"/>
    <w:pPr>
      <w:keepNext/>
      <w:keepLines/>
      <w:spacing w:before="40"/>
      <w:outlineLvl w:val="8"/>
    </w:pPr>
    <w:rPr>
      <w:rFonts w:asciiTheme="majorHAnsi" w:eastAsiaTheme="majorEastAsia" w:hAnsiTheme="majorHAnsi" w:cstheme="majorBidi"/>
      <w:i/>
      <w:iCs/>
      <w:color w:val="6B6F7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5F0"/>
    <w:rPr>
      <w:rFonts w:ascii="Avenir Next LT Pro Demi" w:eastAsia="Calibri" w:hAnsi="Avenir Next LT Pro Demi"/>
      <w:b/>
      <w:color w:val="9FC64D"/>
      <w:sz w:val="40"/>
      <w:szCs w:val="22"/>
    </w:rPr>
  </w:style>
  <w:style w:type="paragraph" w:customStyle="1" w:styleId="SecondLevelbullets">
    <w:name w:val="Second Level bullets"/>
    <w:basedOn w:val="Normal"/>
    <w:link w:val="SecondLevelbulletsChar"/>
    <w:rsid w:val="00E667F7"/>
    <w:pPr>
      <w:numPr>
        <w:ilvl w:val="1"/>
        <w:numId w:val="1"/>
      </w:numPr>
      <w:spacing w:after="60"/>
      <w:ind w:left="850" w:hanging="425"/>
    </w:pPr>
    <w:rPr>
      <w:rFonts w:asciiTheme="minorHAnsi" w:eastAsia="Calibri" w:hAnsiTheme="minorHAnsi"/>
      <w:color w:val="53565A" w:themeColor="text1"/>
      <w:sz w:val="20"/>
      <w:lang w:eastAsia="en-US"/>
    </w:rPr>
  </w:style>
  <w:style w:type="paragraph" w:customStyle="1" w:styleId="Address">
    <w:name w:val="Address"/>
    <w:basedOn w:val="Normal"/>
    <w:rsid w:val="00BE1EC0"/>
    <w:pPr>
      <w:spacing w:line="230" w:lineRule="exact"/>
    </w:pPr>
    <w:rPr>
      <w:rFonts w:eastAsia="Times New Roman"/>
      <w:color w:val="53565A" w:themeColor="text1"/>
      <w:sz w:val="20"/>
      <w:szCs w:val="22"/>
    </w:rPr>
  </w:style>
  <w:style w:type="character" w:customStyle="1" w:styleId="Heading2Char">
    <w:name w:val="Heading 2 Char"/>
    <w:basedOn w:val="DefaultParagraphFont"/>
    <w:link w:val="Heading2"/>
    <w:rsid w:val="0016761A"/>
    <w:rPr>
      <w:rFonts w:ascii="Avenir Next LT Pro" w:eastAsia="Calibri" w:hAnsi="Avenir Next LT Pro" w:cs="Arial"/>
      <w:b/>
      <w:color w:val="009FE3"/>
      <w:sz w:val="32"/>
      <w:szCs w:val="32"/>
    </w:rPr>
  </w:style>
  <w:style w:type="paragraph" w:styleId="Header">
    <w:name w:val="header"/>
    <w:basedOn w:val="Normal"/>
    <w:link w:val="HeaderChar"/>
    <w:uiPriority w:val="99"/>
    <w:unhideWhenUsed/>
    <w:rsid w:val="003B4063"/>
    <w:pPr>
      <w:tabs>
        <w:tab w:val="center" w:pos="4513"/>
        <w:tab w:val="right" w:pos="9026"/>
      </w:tabs>
    </w:pPr>
    <w:rPr>
      <w:rFonts w:eastAsia="Times New Roman"/>
    </w:rPr>
  </w:style>
  <w:style w:type="character" w:customStyle="1" w:styleId="HeaderChar">
    <w:name w:val="Header Char"/>
    <w:basedOn w:val="DefaultParagraphFont"/>
    <w:link w:val="Header"/>
    <w:uiPriority w:val="99"/>
    <w:rsid w:val="003B4063"/>
    <w:rPr>
      <w:rFonts w:asciiTheme="minorHAnsi" w:eastAsia="Times New Roman" w:hAnsiTheme="minorHAnsi"/>
      <w:sz w:val="24"/>
      <w:lang w:eastAsia="en-GB"/>
    </w:rPr>
  </w:style>
  <w:style w:type="paragraph" w:styleId="Footer">
    <w:name w:val="footer"/>
    <w:basedOn w:val="Normal"/>
    <w:link w:val="FooterChar"/>
    <w:uiPriority w:val="99"/>
    <w:unhideWhenUsed/>
    <w:rsid w:val="003B4063"/>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3B4063"/>
    <w:rPr>
      <w:rFonts w:asciiTheme="minorHAnsi" w:eastAsia="Times New Roman" w:hAnsiTheme="minorHAnsi"/>
      <w:sz w:val="24"/>
      <w:lang w:eastAsia="en-GB"/>
    </w:rPr>
  </w:style>
  <w:style w:type="paragraph" w:styleId="ListParagraph">
    <w:name w:val="List Paragraph"/>
    <w:basedOn w:val="Normal"/>
    <w:uiPriority w:val="34"/>
    <w:rsid w:val="003B4063"/>
    <w:pPr>
      <w:ind w:left="720"/>
      <w:contextualSpacing/>
    </w:pPr>
    <w:rPr>
      <w:rFonts w:eastAsia="Times New Roman"/>
    </w:rPr>
  </w:style>
  <w:style w:type="paragraph" w:customStyle="1" w:styleId="DocumentTitle">
    <w:name w:val="Document Title"/>
    <w:basedOn w:val="Normal"/>
    <w:rsid w:val="0039349C"/>
    <w:rPr>
      <w:rFonts w:asciiTheme="minorHAnsi" w:eastAsia="Times New Roman" w:hAnsiTheme="minorHAnsi"/>
      <w:b/>
      <w:color w:val="009FE3" w:themeColor="background2"/>
      <w:sz w:val="70"/>
      <w:szCs w:val="70"/>
    </w:rPr>
  </w:style>
  <w:style w:type="paragraph" w:styleId="TOC1">
    <w:name w:val="toc 1"/>
    <w:basedOn w:val="Normal"/>
    <w:next w:val="Normal"/>
    <w:autoRedefine/>
    <w:uiPriority w:val="39"/>
    <w:qFormat/>
    <w:rsid w:val="009C5606"/>
    <w:pPr>
      <w:tabs>
        <w:tab w:val="right" w:pos="9072"/>
      </w:tabs>
      <w:spacing w:before="240" w:after="120" w:line="280" w:lineRule="exact"/>
    </w:pPr>
    <w:rPr>
      <w:rFonts w:asciiTheme="minorHAnsi" w:hAnsiTheme="minorHAnsi" w:cstheme="minorHAnsi"/>
      <w:bCs/>
      <w:color w:val="009FE3" w:themeColor="background2"/>
      <w:sz w:val="20"/>
    </w:rPr>
  </w:style>
  <w:style w:type="paragraph" w:styleId="TOC2">
    <w:name w:val="toc 2"/>
    <w:basedOn w:val="Normal"/>
    <w:next w:val="Normal"/>
    <w:autoRedefine/>
    <w:uiPriority w:val="39"/>
    <w:qFormat/>
    <w:rsid w:val="009C5606"/>
    <w:pPr>
      <w:tabs>
        <w:tab w:val="right" w:pos="9072"/>
      </w:tabs>
      <w:spacing w:before="120" w:line="280" w:lineRule="exact"/>
      <w:ind w:left="238"/>
    </w:pPr>
    <w:rPr>
      <w:rFonts w:asciiTheme="minorHAnsi" w:hAnsiTheme="minorHAnsi" w:cstheme="minorHAnsi"/>
      <w:iCs/>
      <w:color w:val="53565A" w:themeColor="text1"/>
      <w:sz w:val="20"/>
    </w:rPr>
  </w:style>
  <w:style w:type="paragraph" w:styleId="TOC3">
    <w:name w:val="toc 3"/>
    <w:basedOn w:val="Normal"/>
    <w:next w:val="Normal"/>
    <w:autoRedefine/>
    <w:uiPriority w:val="39"/>
    <w:qFormat/>
    <w:rsid w:val="009C5606"/>
    <w:pPr>
      <w:tabs>
        <w:tab w:val="right" w:pos="9072"/>
      </w:tabs>
      <w:spacing w:line="280" w:lineRule="exact"/>
      <w:ind w:left="482"/>
    </w:pPr>
    <w:rPr>
      <w:rFonts w:asciiTheme="minorHAnsi" w:hAnsiTheme="minorHAnsi" w:cstheme="minorHAnsi"/>
      <w:color w:val="53565A" w:themeColor="text1"/>
      <w:sz w:val="20"/>
    </w:rPr>
  </w:style>
  <w:style w:type="character" w:styleId="Hyperlink">
    <w:name w:val="Hyperlink"/>
    <w:basedOn w:val="DefaultParagraphFont"/>
    <w:uiPriority w:val="99"/>
    <w:unhideWhenUsed/>
    <w:rsid w:val="00511A8D"/>
    <w:rPr>
      <w:color w:val="009FE3" w:themeColor="hyperlink"/>
      <w:u w:val="single"/>
    </w:rPr>
  </w:style>
  <w:style w:type="character" w:customStyle="1" w:styleId="Heading3Char">
    <w:name w:val="Heading 3 Char"/>
    <w:basedOn w:val="DefaultParagraphFont"/>
    <w:link w:val="Heading3"/>
    <w:rsid w:val="00FA75F0"/>
    <w:rPr>
      <w:rFonts w:ascii="Avenir Next LT Pro" w:eastAsia="Calibri" w:hAnsi="Avenir Next LT Pro"/>
      <w:color w:val="009FE3"/>
      <w:sz w:val="24"/>
      <w:szCs w:val="24"/>
    </w:rPr>
  </w:style>
  <w:style w:type="table" w:styleId="TableGrid">
    <w:name w:val="Table Grid"/>
    <w:aliases w:val="SW Table,Table Option 1"/>
    <w:basedOn w:val="TableNormal"/>
    <w:uiPriority w:val="39"/>
    <w:rsid w:val="00BE11E1"/>
    <w:rPr>
      <w:rFonts w:asciiTheme="minorHAnsi" w:eastAsia="Times New Roman" w:hAnsiTheme="minorHAnsi"/>
      <w:lang w:eastAsia="en-GB"/>
    </w:rPr>
    <w:tblPr>
      <w:tblBorders>
        <w:bottom w:val="single" w:sz="6" w:space="0" w:color="FFFFFF" w:themeColor="background1"/>
        <w:insideH w:val="single" w:sz="6" w:space="0" w:color="FFFFFF" w:themeColor="background1"/>
        <w:insideV w:val="single" w:sz="6" w:space="0" w:color="FFFFFF" w:themeColor="background1"/>
      </w:tblBorders>
      <w:tblCellMar>
        <w:top w:w="28" w:type="dxa"/>
        <w:bottom w:w="28" w:type="dxa"/>
      </w:tblCellMar>
    </w:tblPr>
    <w:tcPr>
      <w:shd w:val="clear" w:color="auto" w:fill="55CBFF" w:themeFill="background2" w:themeFillTint="99"/>
      <w:vAlign w:val="center"/>
    </w:tcPr>
    <w:tblStylePr w:type="firstRow">
      <w:rPr>
        <w:color w:val="FFFFFF" w:themeColor="background1"/>
      </w:rPr>
      <w:tblPr/>
      <w:tcPr>
        <w:shd w:val="clear" w:color="auto" w:fill="009FE3" w:themeFill="background2"/>
      </w:tcPr>
    </w:tblStylePr>
    <w:tblStylePr w:type="lastRow">
      <w:rPr>
        <w:color w:val="FFFFFF" w:themeColor="background1"/>
      </w:rPr>
      <w:tblPr/>
      <w:tcPr>
        <w:tcBorders>
          <w:insideH w:val="nil"/>
          <w:insideV w:val="single" w:sz="6" w:space="0" w:color="FFFFFF" w:themeColor="background1"/>
        </w:tcBorders>
        <w:shd w:val="clear" w:color="auto" w:fill="174290" w:themeFill="text2"/>
      </w:tcPr>
    </w:tblStylePr>
  </w:style>
  <w:style w:type="paragraph" w:customStyle="1" w:styleId="NumberedList">
    <w:name w:val="Numbered List"/>
    <w:basedOn w:val="Normal"/>
    <w:rsid w:val="00E667F7"/>
    <w:pPr>
      <w:numPr>
        <w:numId w:val="9"/>
      </w:numPr>
      <w:spacing w:after="60" w:line="260" w:lineRule="exact"/>
    </w:pPr>
    <w:rPr>
      <w:rFonts w:asciiTheme="minorHAnsi" w:eastAsia="Calibri" w:hAnsiTheme="minorHAnsi"/>
      <w:color w:val="53565A" w:themeColor="text1"/>
      <w:sz w:val="20"/>
      <w:szCs w:val="22"/>
      <w:lang w:eastAsia="en-US"/>
    </w:rPr>
  </w:style>
  <w:style w:type="paragraph" w:styleId="ListNumber2">
    <w:name w:val="List Number 2"/>
    <w:basedOn w:val="Normal"/>
    <w:uiPriority w:val="99"/>
    <w:unhideWhenUsed/>
    <w:rsid w:val="007F601F"/>
    <w:pPr>
      <w:numPr>
        <w:numId w:val="5"/>
      </w:numPr>
      <w:contextualSpacing/>
    </w:pPr>
  </w:style>
  <w:style w:type="paragraph" w:styleId="BodyText">
    <w:name w:val="Body Text"/>
    <w:basedOn w:val="Normal"/>
    <w:link w:val="BodyTextChar"/>
    <w:unhideWhenUsed/>
    <w:qFormat/>
    <w:rsid w:val="00FA75F0"/>
    <w:pPr>
      <w:spacing w:line="260" w:lineRule="exact"/>
    </w:pPr>
    <w:rPr>
      <w:rFonts w:ascii="Avenir Next LT Pro" w:eastAsia="Times New Roman" w:hAnsi="Avenir Next LT Pro"/>
      <w:sz w:val="20"/>
    </w:rPr>
  </w:style>
  <w:style w:type="paragraph" w:styleId="ListNumber3">
    <w:name w:val="List Number 3"/>
    <w:basedOn w:val="Normal"/>
    <w:uiPriority w:val="99"/>
    <w:unhideWhenUsed/>
    <w:rsid w:val="007F601F"/>
    <w:pPr>
      <w:numPr>
        <w:numId w:val="4"/>
      </w:numPr>
      <w:contextualSpacing/>
    </w:pPr>
  </w:style>
  <w:style w:type="paragraph" w:customStyle="1" w:styleId="TableText">
    <w:name w:val="Table Text"/>
    <w:basedOn w:val="Normal"/>
    <w:qFormat/>
    <w:rsid w:val="00C23A02"/>
    <w:pPr>
      <w:framePr w:hSpace="180" w:wrap="around" w:vAnchor="text" w:hAnchor="margin" w:y="222"/>
    </w:pPr>
    <w:rPr>
      <w:rFonts w:asciiTheme="minorHAnsi" w:eastAsia="Times New Roman" w:hAnsiTheme="minorHAnsi"/>
      <w:color w:val="FFFFFF" w:themeColor="background1"/>
      <w:sz w:val="20"/>
    </w:rPr>
  </w:style>
  <w:style w:type="paragraph" w:customStyle="1" w:styleId="FirstLevelBullets">
    <w:name w:val="First Level Bullets"/>
    <w:basedOn w:val="Normal"/>
    <w:link w:val="FirstLevelBulletsChar"/>
    <w:qFormat/>
    <w:rsid w:val="0016761A"/>
    <w:pPr>
      <w:numPr>
        <w:numId w:val="1"/>
      </w:numPr>
      <w:spacing w:after="60"/>
      <w:ind w:left="425" w:hanging="425"/>
    </w:pPr>
    <w:rPr>
      <w:rFonts w:ascii="Avenir Next LT Pro" w:eastAsia="Calibri" w:hAnsi="Avenir Next LT Pro"/>
      <w:sz w:val="20"/>
      <w:szCs w:val="22"/>
      <w:lang w:eastAsia="en-US"/>
    </w:rPr>
  </w:style>
  <w:style w:type="paragraph" w:customStyle="1" w:styleId="BodyTextnopara">
    <w:name w:val="Body Text (no para)"/>
    <w:basedOn w:val="Normal"/>
    <w:rsid w:val="00C0772E"/>
    <w:pPr>
      <w:spacing w:line="240" w:lineRule="exact"/>
    </w:pPr>
    <w:rPr>
      <w:rFonts w:asciiTheme="minorHAnsi" w:eastAsia="Times New Roman" w:hAnsiTheme="minorHAnsi"/>
      <w:color w:val="53565A" w:themeColor="text1"/>
      <w:sz w:val="20"/>
      <w:lang w:eastAsia="en-US"/>
    </w:rPr>
  </w:style>
  <w:style w:type="paragraph" w:customStyle="1" w:styleId="HighlightedText">
    <w:name w:val="Highlighted Text"/>
    <w:basedOn w:val="Normal"/>
    <w:rsid w:val="00BE1EC0"/>
    <w:rPr>
      <w:rFonts w:asciiTheme="minorHAnsi" w:eastAsia="Times New Roman" w:hAnsiTheme="minorHAnsi"/>
      <w:b/>
      <w:i/>
      <w:color w:val="53565A" w:themeColor="text1"/>
      <w:sz w:val="20"/>
      <w:lang w:eastAsia="en-US"/>
    </w:rPr>
  </w:style>
  <w:style w:type="paragraph" w:styleId="Caption">
    <w:name w:val="caption"/>
    <w:basedOn w:val="Normal"/>
    <w:next w:val="Normal"/>
    <w:unhideWhenUsed/>
    <w:qFormat/>
    <w:rsid w:val="00FA75F0"/>
    <w:pPr>
      <w:keepNext/>
      <w:spacing w:after="60" w:line="260" w:lineRule="exact"/>
    </w:pPr>
    <w:rPr>
      <w:rFonts w:ascii="Avenir Next LT Pro" w:eastAsia="Times New Roman" w:hAnsi="Avenir Next LT Pro"/>
      <w:b/>
      <w:bCs/>
      <w:color w:val="009FE3"/>
      <w:sz w:val="20"/>
      <w:szCs w:val="18"/>
    </w:rPr>
  </w:style>
  <w:style w:type="paragraph" w:styleId="Subtitle">
    <w:name w:val="Subtitle"/>
    <w:basedOn w:val="Normal"/>
    <w:next w:val="Normal"/>
    <w:link w:val="SubtitleChar"/>
    <w:qFormat/>
    <w:rsid w:val="00FA75F0"/>
    <w:pPr>
      <w:spacing w:after="240"/>
    </w:pPr>
    <w:rPr>
      <w:rFonts w:ascii="Avenir Next LT Pro Demi" w:eastAsia="Times New Roman" w:hAnsi="Avenir Next LT Pro Demi"/>
      <w:b/>
      <w:color w:val="009FE3"/>
      <w:sz w:val="70"/>
      <w:szCs w:val="70"/>
    </w:rPr>
  </w:style>
  <w:style w:type="character" w:customStyle="1" w:styleId="SubtitleChar">
    <w:name w:val="Subtitle Char"/>
    <w:basedOn w:val="DefaultParagraphFont"/>
    <w:link w:val="Subtitle"/>
    <w:rsid w:val="00FA75F0"/>
    <w:rPr>
      <w:rFonts w:ascii="Avenir Next LT Pro Demi" w:eastAsia="Times New Roman" w:hAnsi="Avenir Next LT Pro Demi"/>
      <w:b/>
      <w:color w:val="009FE3"/>
      <w:sz w:val="70"/>
      <w:szCs w:val="70"/>
      <w:lang w:eastAsia="en-GB"/>
    </w:rPr>
  </w:style>
  <w:style w:type="character" w:customStyle="1" w:styleId="BodyTextChar">
    <w:name w:val="Body Text Char"/>
    <w:basedOn w:val="DefaultParagraphFont"/>
    <w:link w:val="BodyText"/>
    <w:rsid w:val="00FA75F0"/>
    <w:rPr>
      <w:rFonts w:ascii="Avenir Next LT Pro" w:eastAsia="Times New Roman" w:hAnsi="Avenir Next LT Pro"/>
      <w:lang w:eastAsia="en-GB"/>
    </w:rPr>
  </w:style>
  <w:style w:type="paragraph" w:styleId="ListNumber4">
    <w:name w:val="List Number 4"/>
    <w:basedOn w:val="Normal"/>
    <w:uiPriority w:val="99"/>
    <w:unhideWhenUsed/>
    <w:rsid w:val="007F601F"/>
    <w:pPr>
      <w:numPr>
        <w:numId w:val="3"/>
      </w:numPr>
      <w:contextualSpacing/>
    </w:pPr>
  </w:style>
  <w:style w:type="paragraph" w:styleId="ListNumber5">
    <w:name w:val="List Number 5"/>
    <w:basedOn w:val="Normal"/>
    <w:uiPriority w:val="99"/>
    <w:unhideWhenUsed/>
    <w:rsid w:val="007F601F"/>
    <w:pPr>
      <w:numPr>
        <w:numId w:val="2"/>
      </w:numPr>
      <w:contextualSpacing/>
    </w:pPr>
  </w:style>
  <w:style w:type="paragraph" w:styleId="ListNumber">
    <w:name w:val="List Number"/>
    <w:basedOn w:val="Normal"/>
    <w:uiPriority w:val="99"/>
    <w:unhideWhenUsed/>
    <w:rsid w:val="007F601F"/>
    <w:pPr>
      <w:numPr>
        <w:numId w:val="6"/>
      </w:numPr>
      <w:contextualSpacing/>
    </w:pPr>
  </w:style>
  <w:style w:type="paragraph" w:customStyle="1" w:styleId="Dateandversiontext">
    <w:name w:val="Date and version text"/>
    <w:basedOn w:val="BodyText"/>
    <w:qFormat/>
    <w:rsid w:val="00FA75F0"/>
    <w:pPr>
      <w:spacing w:after="120" w:line="360" w:lineRule="exact"/>
    </w:pPr>
    <w:rPr>
      <w:sz w:val="36"/>
      <w:szCs w:val="36"/>
    </w:rPr>
  </w:style>
  <w:style w:type="paragraph" w:customStyle="1" w:styleId="ContentsHeading">
    <w:name w:val="Contents Heading"/>
    <w:basedOn w:val="Heading1"/>
    <w:qFormat/>
    <w:rsid w:val="00B64CB2"/>
    <w:pPr>
      <w:spacing w:after="0" w:line="480" w:lineRule="exact"/>
    </w:pPr>
    <w:rPr>
      <w:b w:val="0"/>
      <w:sz w:val="48"/>
      <w:szCs w:val="32"/>
    </w:rPr>
  </w:style>
  <w:style w:type="paragraph" w:customStyle="1" w:styleId="ContentsList">
    <w:name w:val="Contents List"/>
    <w:basedOn w:val="BodyText"/>
    <w:qFormat/>
    <w:rsid w:val="00B35CF4"/>
    <w:pPr>
      <w:tabs>
        <w:tab w:val="right" w:leader="dot" w:pos="7938"/>
      </w:tabs>
      <w:spacing w:after="120"/>
    </w:pPr>
    <w:rPr>
      <w:sz w:val="24"/>
    </w:rPr>
  </w:style>
  <w:style w:type="character" w:styleId="PageNumber">
    <w:name w:val="page number"/>
    <w:basedOn w:val="DefaultParagraphFont"/>
    <w:uiPriority w:val="99"/>
    <w:semiHidden/>
    <w:unhideWhenUsed/>
    <w:rsid w:val="003B3040"/>
  </w:style>
  <w:style w:type="paragraph" w:customStyle="1" w:styleId="TableHeadings">
    <w:name w:val="Table Headings"/>
    <w:basedOn w:val="TableText"/>
    <w:qFormat/>
    <w:rsid w:val="00FA75F0"/>
    <w:pPr>
      <w:framePr w:wrap="around"/>
    </w:pPr>
    <w:rPr>
      <w:rFonts w:ascii="Avenir Next LT Pro" w:hAnsi="Avenir Next LT Pro"/>
    </w:rPr>
  </w:style>
  <w:style w:type="character" w:customStyle="1" w:styleId="UnresolvedMention1">
    <w:name w:val="Unresolved Mention1"/>
    <w:basedOn w:val="DefaultParagraphFont"/>
    <w:uiPriority w:val="99"/>
    <w:semiHidden/>
    <w:unhideWhenUsed/>
    <w:rsid w:val="003935EE"/>
    <w:rPr>
      <w:color w:val="605E5C"/>
      <w:shd w:val="clear" w:color="auto" w:fill="E1DFDD"/>
    </w:rPr>
  </w:style>
  <w:style w:type="character" w:styleId="FollowedHyperlink">
    <w:name w:val="FollowedHyperlink"/>
    <w:basedOn w:val="DefaultParagraphFont"/>
    <w:uiPriority w:val="99"/>
    <w:semiHidden/>
    <w:unhideWhenUsed/>
    <w:rsid w:val="00320F8B"/>
    <w:rPr>
      <w:color w:val="174290" w:themeColor="followedHyperlink"/>
      <w:u w:val="single"/>
    </w:rPr>
  </w:style>
  <w:style w:type="paragraph" w:customStyle="1" w:styleId="Contents">
    <w:name w:val="Contents"/>
    <w:basedOn w:val="Normal"/>
    <w:rsid w:val="005356B3"/>
    <w:rPr>
      <w:rFonts w:asciiTheme="minorHAnsi" w:eastAsia="Times New Roman" w:hAnsiTheme="minorHAnsi"/>
      <w:color w:val="009FE3" w:themeColor="background2"/>
      <w:sz w:val="48"/>
      <w:szCs w:val="48"/>
    </w:rPr>
  </w:style>
  <w:style w:type="paragraph" w:customStyle="1" w:styleId="Templatenotes">
    <w:name w:val="Template notes"/>
    <w:basedOn w:val="Heading1"/>
    <w:rsid w:val="00C06018"/>
    <w:rPr>
      <w:b w:val="0"/>
      <w:i/>
      <w:sz w:val="22"/>
    </w:rPr>
  </w:style>
  <w:style w:type="paragraph" w:customStyle="1" w:styleId="Style1">
    <w:name w:val="Style1"/>
    <w:basedOn w:val="BodyText"/>
    <w:rsid w:val="00B05A3D"/>
  </w:style>
  <w:style w:type="paragraph" w:styleId="Revision">
    <w:name w:val="Revision"/>
    <w:hidden/>
    <w:uiPriority w:val="99"/>
    <w:semiHidden/>
    <w:rsid w:val="006A05E7"/>
    <w:rPr>
      <w:rFonts w:ascii="Arial" w:hAnsi="Arial"/>
      <w:sz w:val="24"/>
      <w:lang w:eastAsia="en-GB"/>
    </w:rPr>
  </w:style>
  <w:style w:type="paragraph" w:styleId="BalloonText">
    <w:name w:val="Balloon Text"/>
    <w:basedOn w:val="Normal"/>
    <w:link w:val="BalloonTextChar"/>
    <w:uiPriority w:val="99"/>
    <w:semiHidden/>
    <w:unhideWhenUsed/>
    <w:rsid w:val="00C20C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C67"/>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DD3204"/>
    <w:rPr>
      <w:sz w:val="16"/>
      <w:szCs w:val="16"/>
    </w:rPr>
  </w:style>
  <w:style w:type="paragraph" w:styleId="CommentText">
    <w:name w:val="annotation text"/>
    <w:basedOn w:val="Normal"/>
    <w:link w:val="CommentTextChar"/>
    <w:uiPriority w:val="99"/>
    <w:unhideWhenUsed/>
    <w:rsid w:val="00DD3204"/>
    <w:rPr>
      <w:sz w:val="20"/>
    </w:rPr>
  </w:style>
  <w:style w:type="character" w:customStyle="1" w:styleId="CommentTextChar">
    <w:name w:val="Comment Text Char"/>
    <w:basedOn w:val="DefaultParagraphFont"/>
    <w:link w:val="CommentText"/>
    <w:uiPriority w:val="99"/>
    <w:rsid w:val="00DD3204"/>
    <w:rPr>
      <w:rFonts w:ascii="Arial" w:hAnsi="Arial"/>
      <w:lang w:eastAsia="en-GB"/>
    </w:rPr>
  </w:style>
  <w:style w:type="paragraph" w:styleId="CommentSubject">
    <w:name w:val="annotation subject"/>
    <w:basedOn w:val="CommentText"/>
    <w:next w:val="CommentText"/>
    <w:link w:val="CommentSubjectChar"/>
    <w:uiPriority w:val="99"/>
    <w:semiHidden/>
    <w:unhideWhenUsed/>
    <w:rsid w:val="00DD3204"/>
    <w:rPr>
      <w:b/>
      <w:bCs/>
    </w:rPr>
  </w:style>
  <w:style w:type="character" w:customStyle="1" w:styleId="CommentSubjectChar">
    <w:name w:val="Comment Subject Char"/>
    <w:basedOn w:val="CommentTextChar"/>
    <w:link w:val="CommentSubject"/>
    <w:uiPriority w:val="99"/>
    <w:semiHidden/>
    <w:rsid w:val="00DD3204"/>
    <w:rPr>
      <w:rFonts w:ascii="Arial" w:hAnsi="Arial"/>
      <w:b/>
      <w:bCs/>
      <w:lang w:eastAsia="en-GB"/>
    </w:rPr>
  </w:style>
  <w:style w:type="character" w:customStyle="1" w:styleId="Heading4Char">
    <w:name w:val="Heading 4 Char"/>
    <w:basedOn w:val="DefaultParagraphFont"/>
    <w:link w:val="Heading4"/>
    <w:uiPriority w:val="9"/>
    <w:rsid w:val="00DD3204"/>
    <w:rPr>
      <w:rFonts w:asciiTheme="majorHAnsi" w:eastAsiaTheme="majorEastAsia" w:hAnsiTheme="majorHAnsi" w:cstheme="majorBidi"/>
      <w:i/>
      <w:iCs/>
      <w:color w:val="276EA1" w:themeColor="accent1" w:themeShade="BF"/>
      <w:sz w:val="24"/>
      <w:lang w:eastAsia="en-GB"/>
    </w:rPr>
  </w:style>
  <w:style w:type="paragraph" w:styleId="TableofFigures">
    <w:name w:val="table of figures"/>
    <w:basedOn w:val="ContentsList"/>
    <w:next w:val="Normal"/>
    <w:uiPriority w:val="99"/>
    <w:unhideWhenUsed/>
    <w:rsid w:val="0041393E"/>
    <w:pPr>
      <w:tabs>
        <w:tab w:val="clear" w:pos="7938"/>
        <w:tab w:val="right" w:pos="9072"/>
      </w:tabs>
      <w:snapToGrid w:val="0"/>
      <w:spacing w:after="0" w:line="240" w:lineRule="exact"/>
    </w:pPr>
    <w:rPr>
      <w:color w:val="174290" w:themeColor="text2"/>
      <w:sz w:val="20"/>
    </w:rPr>
  </w:style>
  <w:style w:type="paragraph" w:styleId="TOCHeading">
    <w:name w:val="TOC Heading"/>
    <w:basedOn w:val="Heading1"/>
    <w:next w:val="Normal"/>
    <w:uiPriority w:val="39"/>
    <w:unhideWhenUsed/>
    <w:qFormat/>
    <w:rsid w:val="00DC001D"/>
    <w:pPr>
      <w:keepNext/>
      <w:keepLines/>
      <w:numPr>
        <w:numId w:val="0"/>
      </w:numPr>
      <w:spacing w:before="240" w:after="0" w:line="259" w:lineRule="auto"/>
      <w:outlineLvl w:val="9"/>
    </w:pPr>
    <w:rPr>
      <w:rFonts w:asciiTheme="majorHAnsi" w:eastAsiaTheme="majorEastAsia" w:hAnsiTheme="majorHAnsi" w:cstheme="majorBidi"/>
      <w:b w:val="0"/>
      <w:color w:val="276EA1" w:themeColor="accent1" w:themeShade="BF"/>
      <w:sz w:val="32"/>
      <w:szCs w:val="32"/>
      <w:lang w:val="en-US"/>
    </w:rPr>
  </w:style>
  <w:style w:type="paragraph" w:customStyle="1" w:styleId="HeadingBold">
    <w:name w:val="Heading Bold"/>
    <w:basedOn w:val="Heading1"/>
    <w:rsid w:val="003F5167"/>
    <w:pPr>
      <w:numPr>
        <w:numId w:val="0"/>
      </w:numPr>
      <w:ind w:left="794" w:hanging="794"/>
    </w:pPr>
  </w:style>
  <w:style w:type="paragraph" w:customStyle="1" w:styleId="HeadingBold2">
    <w:name w:val="Heading Bold 2"/>
    <w:basedOn w:val="Heading2"/>
    <w:rsid w:val="002C09AD"/>
    <w:pPr>
      <w:numPr>
        <w:ilvl w:val="0"/>
        <w:numId w:val="0"/>
      </w:numPr>
      <w:ind w:left="792" w:hanging="792"/>
    </w:pPr>
  </w:style>
  <w:style w:type="paragraph" w:customStyle="1" w:styleId="Headingreg3">
    <w:name w:val="Heading reg 3"/>
    <w:basedOn w:val="Heading3"/>
    <w:rsid w:val="002C09AD"/>
    <w:pPr>
      <w:numPr>
        <w:ilvl w:val="0"/>
        <w:numId w:val="0"/>
      </w:numPr>
      <w:ind w:left="794" w:hanging="794"/>
    </w:pPr>
  </w:style>
  <w:style w:type="paragraph" w:customStyle="1" w:styleId="BodyText13pt">
    <w:name w:val="*Body Text 13pt"/>
    <w:basedOn w:val="BodyText"/>
    <w:link w:val="BodyText13ptChar"/>
    <w:rsid w:val="00317F18"/>
    <w:rPr>
      <w:sz w:val="22"/>
      <w:szCs w:val="22"/>
    </w:rPr>
  </w:style>
  <w:style w:type="paragraph" w:customStyle="1" w:styleId="Referencessourcesetc">
    <w:name w:val="*References/sources/etc"/>
    <w:basedOn w:val="EndnoteText"/>
    <w:link w:val="ReferencessourcesetcChar"/>
    <w:rsid w:val="00317F18"/>
    <w:pPr>
      <w:spacing w:line="200" w:lineRule="exact"/>
      <w:ind w:left="102" w:hanging="102"/>
    </w:pPr>
    <w:rPr>
      <w:color w:val="0032A0"/>
      <w:sz w:val="16"/>
      <w:szCs w:val="16"/>
    </w:rPr>
  </w:style>
  <w:style w:type="paragraph" w:customStyle="1" w:styleId="TechnicalAnnexestable">
    <w:name w:val="*Technical Annexes table"/>
    <w:basedOn w:val="Normal"/>
    <w:rsid w:val="00317F18"/>
    <w:pPr>
      <w:spacing w:after="20" w:line="200" w:lineRule="exact"/>
    </w:pPr>
    <w:rPr>
      <w:rFonts w:asciiTheme="minorHAnsi" w:eastAsia="Times New Roman" w:hAnsiTheme="minorHAnsi" w:cstheme="minorHAnsi"/>
      <w:color w:val="174290" w:themeColor="text2"/>
      <w:sz w:val="16"/>
      <w:szCs w:val="18"/>
    </w:rPr>
  </w:style>
  <w:style w:type="character" w:customStyle="1" w:styleId="BodyText13ptChar">
    <w:name w:val="*Body Text 13pt Char"/>
    <w:basedOn w:val="BodyTextChar"/>
    <w:link w:val="BodyText13pt"/>
    <w:rsid w:val="00317F18"/>
    <w:rPr>
      <w:rFonts w:asciiTheme="minorHAnsi" w:eastAsia="Times New Roman" w:hAnsiTheme="minorHAnsi"/>
      <w:color w:val="53565A" w:themeColor="text1"/>
      <w:sz w:val="22"/>
      <w:szCs w:val="22"/>
      <w:lang w:eastAsia="en-GB"/>
    </w:rPr>
  </w:style>
  <w:style w:type="paragraph" w:styleId="EndnoteText">
    <w:name w:val="endnote text"/>
    <w:basedOn w:val="Normal"/>
    <w:link w:val="EndnoteTextChar"/>
    <w:uiPriority w:val="99"/>
    <w:semiHidden/>
    <w:unhideWhenUsed/>
    <w:rsid w:val="00317F18"/>
    <w:rPr>
      <w:sz w:val="20"/>
    </w:rPr>
  </w:style>
  <w:style w:type="character" w:customStyle="1" w:styleId="EndnoteTextChar">
    <w:name w:val="Endnote Text Char"/>
    <w:basedOn w:val="DefaultParagraphFont"/>
    <w:link w:val="EndnoteText"/>
    <w:uiPriority w:val="99"/>
    <w:semiHidden/>
    <w:rsid w:val="00317F18"/>
    <w:rPr>
      <w:rFonts w:ascii="Arial" w:hAnsi="Arial"/>
      <w:lang w:eastAsia="en-GB"/>
    </w:rPr>
  </w:style>
  <w:style w:type="character" w:styleId="EndnoteReference">
    <w:name w:val="endnote reference"/>
    <w:basedOn w:val="DefaultParagraphFont"/>
    <w:uiPriority w:val="99"/>
    <w:semiHidden/>
    <w:unhideWhenUsed/>
    <w:rsid w:val="00317F18"/>
    <w:rPr>
      <w:vertAlign w:val="superscript"/>
    </w:rPr>
  </w:style>
  <w:style w:type="character" w:customStyle="1" w:styleId="Heading6Char">
    <w:name w:val="Heading 6 Char"/>
    <w:basedOn w:val="DefaultParagraphFont"/>
    <w:link w:val="Heading6"/>
    <w:uiPriority w:val="9"/>
    <w:semiHidden/>
    <w:rsid w:val="009C5606"/>
    <w:rPr>
      <w:rFonts w:asciiTheme="majorHAnsi" w:eastAsiaTheme="majorEastAsia" w:hAnsiTheme="majorHAnsi" w:cstheme="majorBidi"/>
      <w:color w:val="1A496B" w:themeColor="accent1" w:themeShade="7F"/>
      <w:sz w:val="24"/>
      <w:lang w:eastAsia="en-GB"/>
    </w:rPr>
  </w:style>
  <w:style w:type="paragraph" w:customStyle="1" w:styleId="Quote2">
    <w:name w:val="*Quote2"/>
    <w:basedOn w:val="Normal"/>
    <w:rsid w:val="00E96E19"/>
    <w:pPr>
      <w:jc w:val="center"/>
    </w:pPr>
    <w:rPr>
      <w:color w:val="53565A"/>
      <w:sz w:val="18"/>
    </w:rPr>
  </w:style>
  <w:style w:type="paragraph" w:styleId="TOC4">
    <w:name w:val="toc 4"/>
    <w:basedOn w:val="Normal"/>
    <w:next w:val="Normal"/>
    <w:autoRedefine/>
    <w:uiPriority w:val="39"/>
    <w:unhideWhenUsed/>
    <w:rsid w:val="00B84334"/>
    <w:pPr>
      <w:ind w:left="720"/>
    </w:pPr>
    <w:rPr>
      <w:rFonts w:asciiTheme="minorHAnsi" w:hAnsiTheme="minorHAnsi" w:cstheme="minorHAnsi"/>
      <w:sz w:val="20"/>
    </w:rPr>
  </w:style>
  <w:style w:type="paragraph" w:styleId="TOC5">
    <w:name w:val="toc 5"/>
    <w:basedOn w:val="Normal"/>
    <w:next w:val="Normal"/>
    <w:autoRedefine/>
    <w:uiPriority w:val="39"/>
    <w:unhideWhenUsed/>
    <w:rsid w:val="00B84334"/>
    <w:pPr>
      <w:ind w:left="960"/>
    </w:pPr>
    <w:rPr>
      <w:rFonts w:asciiTheme="minorHAnsi" w:hAnsiTheme="minorHAnsi" w:cstheme="minorHAnsi"/>
      <w:sz w:val="20"/>
    </w:rPr>
  </w:style>
  <w:style w:type="paragraph" w:styleId="TOC6">
    <w:name w:val="toc 6"/>
    <w:basedOn w:val="Normal"/>
    <w:next w:val="Normal"/>
    <w:autoRedefine/>
    <w:uiPriority w:val="39"/>
    <w:unhideWhenUsed/>
    <w:rsid w:val="00B84334"/>
    <w:pPr>
      <w:ind w:left="1200"/>
    </w:pPr>
    <w:rPr>
      <w:rFonts w:asciiTheme="minorHAnsi" w:hAnsiTheme="minorHAnsi" w:cstheme="minorHAnsi"/>
      <w:sz w:val="20"/>
    </w:rPr>
  </w:style>
  <w:style w:type="paragraph" w:styleId="TOC7">
    <w:name w:val="toc 7"/>
    <w:basedOn w:val="Normal"/>
    <w:next w:val="Normal"/>
    <w:autoRedefine/>
    <w:uiPriority w:val="39"/>
    <w:unhideWhenUsed/>
    <w:rsid w:val="00B84334"/>
    <w:pPr>
      <w:ind w:left="1440"/>
    </w:pPr>
    <w:rPr>
      <w:rFonts w:asciiTheme="minorHAnsi" w:hAnsiTheme="minorHAnsi" w:cstheme="minorHAnsi"/>
      <w:sz w:val="20"/>
    </w:rPr>
  </w:style>
  <w:style w:type="paragraph" w:styleId="TOC8">
    <w:name w:val="toc 8"/>
    <w:basedOn w:val="Normal"/>
    <w:next w:val="Normal"/>
    <w:autoRedefine/>
    <w:uiPriority w:val="39"/>
    <w:unhideWhenUsed/>
    <w:rsid w:val="00B84334"/>
    <w:pPr>
      <w:ind w:left="1680"/>
    </w:pPr>
    <w:rPr>
      <w:rFonts w:asciiTheme="minorHAnsi" w:hAnsiTheme="minorHAnsi" w:cstheme="minorHAnsi"/>
      <w:sz w:val="20"/>
    </w:rPr>
  </w:style>
  <w:style w:type="paragraph" w:styleId="TOC9">
    <w:name w:val="toc 9"/>
    <w:basedOn w:val="Normal"/>
    <w:next w:val="Normal"/>
    <w:autoRedefine/>
    <w:uiPriority w:val="39"/>
    <w:unhideWhenUsed/>
    <w:rsid w:val="00B84334"/>
    <w:pPr>
      <w:ind w:left="1920"/>
    </w:pPr>
    <w:rPr>
      <w:rFonts w:asciiTheme="minorHAnsi" w:hAnsiTheme="minorHAnsi" w:cstheme="minorHAnsi"/>
      <w:sz w:val="20"/>
    </w:rPr>
  </w:style>
  <w:style w:type="character" w:customStyle="1" w:styleId="Heading8Char">
    <w:name w:val="Heading 8 Char"/>
    <w:basedOn w:val="DefaultParagraphFont"/>
    <w:link w:val="Heading8"/>
    <w:uiPriority w:val="9"/>
    <w:semiHidden/>
    <w:rsid w:val="00B84334"/>
    <w:rPr>
      <w:rFonts w:asciiTheme="majorHAnsi" w:eastAsiaTheme="majorEastAsia" w:hAnsiTheme="majorHAnsi" w:cstheme="majorBidi"/>
      <w:color w:val="6B6F74" w:themeColor="text1" w:themeTint="D8"/>
      <w:sz w:val="21"/>
      <w:szCs w:val="21"/>
      <w:lang w:eastAsia="en-GB"/>
    </w:rPr>
  </w:style>
  <w:style w:type="character" w:customStyle="1" w:styleId="Heading9Char">
    <w:name w:val="Heading 9 Char"/>
    <w:basedOn w:val="DefaultParagraphFont"/>
    <w:link w:val="Heading9"/>
    <w:uiPriority w:val="9"/>
    <w:semiHidden/>
    <w:rsid w:val="00B84334"/>
    <w:rPr>
      <w:rFonts w:asciiTheme="majorHAnsi" w:eastAsiaTheme="majorEastAsia" w:hAnsiTheme="majorHAnsi" w:cstheme="majorBidi"/>
      <w:i/>
      <w:iCs/>
      <w:color w:val="6B6F74" w:themeColor="text1" w:themeTint="D8"/>
      <w:sz w:val="21"/>
      <w:szCs w:val="21"/>
      <w:lang w:eastAsia="en-GB"/>
    </w:rPr>
  </w:style>
  <w:style w:type="paragraph" w:customStyle="1" w:styleId="Quotestyle">
    <w:name w:val="Quote style"/>
    <w:rsid w:val="008C41AE"/>
    <w:pPr>
      <w:jc w:val="center"/>
    </w:pPr>
    <w:rPr>
      <w:rFonts w:ascii="Arial" w:eastAsia="Calibri" w:hAnsi="Arial"/>
      <w:noProof/>
      <w:color w:val="009FE3" w:themeColor="background2"/>
      <w:sz w:val="28"/>
      <w:szCs w:val="32"/>
    </w:rPr>
  </w:style>
  <w:style w:type="table" w:customStyle="1" w:styleId="SIBtable">
    <w:name w:val="SIB table"/>
    <w:basedOn w:val="TableNormal"/>
    <w:uiPriority w:val="99"/>
    <w:rsid w:val="00B1239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tblPr/>
      <w:tcPr>
        <w:tcBorders>
          <w:top w:val="nil"/>
          <w:left w:val="nil"/>
          <w:bottom w:val="nil"/>
          <w:right w:val="nil"/>
          <w:insideH w:val="nil"/>
          <w:insideV w:val="nil"/>
          <w:tl2br w:val="nil"/>
          <w:tr2bl w:val="nil"/>
        </w:tcBorders>
        <w:shd w:val="clear" w:color="auto" w:fill="1F5780"/>
      </w:tcPr>
    </w:tblStylePr>
  </w:style>
  <w:style w:type="paragraph" w:customStyle="1" w:styleId="SecondLevelBullet">
    <w:name w:val="Second L:evel Bullet"/>
    <w:basedOn w:val="SecondLevelbullets"/>
    <w:link w:val="SecondLevelBulletChar"/>
    <w:qFormat/>
    <w:rsid w:val="0016761A"/>
    <w:rPr>
      <w:rFonts w:ascii="Avenir Next LT Pro" w:hAnsi="Avenir Next LT Pro"/>
      <w:color w:val="auto"/>
    </w:rPr>
  </w:style>
  <w:style w:type="paragraph" w:customStyle="1" w:styleId="Refs">
    <w:name w:val="Refs"/>
    <w:basedOn w:val="Referencessourcesetc"/>
    <w:link w:val="RefsChar"/>
    <w:qFormat/>
    <w:rsid w:val="0016761A"/>
    <w:pPr>
      <w:ind w:left="284" w:hanging="284"/>
    </w:pPr>
    <w:rPr>
      <w:rFonts w:ascii="Avenir Next LT Pro" w:hAnsi="Avenir Next LT Pro" w:cstheme="minorHAnsi"/>
      <w:color w:val="0F339A"/>
    </w:rPr>
  </w:style>
  <w:style w:type="character" w:customStyle="1" w:styleId="SecondLevelbulletsChar">
    <w:name w:val="Second Level bullets Char"/>
    <w:basedOn w:val="DefaultParagraphFont"/>
    <w:link w:val="SecondLevelbullets"/>
    <w:rsid w:val="0016761A"/>
    <w:rPr>
      <w:rFonts w:asciiTheme="minorHAnsi" w:eastAsia="Calibri" w:hAnsiTheme="minorHAnsi"/>
      <w:color w:val="53565A" w:themeColor="text1"/>
    </w:rPr>
  </w:style>
  <w:style w:type="character" w:customStyle="1" w:styleId="SecondLevelBulletChar">
    <w:name w:val="Second L:evel Bullet Char"/>
    <w:basedOn w:val="SecondLevelbulletsChar"/>
    <w:link w:val="SecondLevelBullet"/>
    <w:rsid w:val="0016761A"/>
    <w:rPr>
      <w:rFonts w:ascii="Avenir Next LT Pro" w:eastAsia="Calibri" w:hAnsi="Avenir Next LT Pro"/>
      <w:color w:val="53565A" w:themeColor="text1"/>
    </w:rPr>
  </w:style>
  <w:style w:type="paragraph" w:customStyle="1" w:styleId="Numberedlist0">
    <w:name w:val="Numbered list"/>
    <w:basedOn w:val="FirstLevelBullets"/>
    <w:link w:val="NumberedlistChar"/>
    <w:qFormat/>
    <w:rsid w:val="009D79A6"/>
    <w:pPr>
      <w:numPr>
        <w:numId w:val="11"/>
      </w:numPr>
    </w:pPr>
  </w:style>
  <w:style w:type="character" w:customStyle="1" w:styleId="ReferencessourcesetcChar">
    <w:name w:val="*References/sources/etc Char"/>
    <w:basedOn w:val="EndnoteTextChar"/>
    <w:link w:val="Referencessourcesetc"/>
    <w:rsid w:val="0016761A"/>
    <w:rPr>
      <w:rFonts w:ascii="Arial" w:hAnsi="Arial"/>
      <w:color w:val="0032A0"/>
      <w:sz w:val="16"/>
      <w:szCs w:val="16"/>
      <w:lang w:eastAsia="en-GB"/>
    </w:rPr>
  </w:style>
  <w:style w:type="character" w:customStyle="1" w:styleId="RefsChar">
    <w:name w:val="Refs Char"/>
    <w:basedOn w:val="ReferencessourcesetcChar"/>
    <w:link w:val="Refs"/>
    <w:rsid w:val="0016761A"/>
    <w:rPr>
      <w:rFonts w:ascii="Avenir Next LT Pro" w:hAnsi="Avenir Next LT Pro" w:cstheme="minorHAnsi"/>
      <w:color w:val="0F339A"/>
      <w:sz w:val="16"/>
      <w:szCs w:val="16"/>
      <w:lang w:eastAsia="en-GB"/>
    </w:rPr>
  </w:style>
  <w:style w:type="character" w:customStyle="1" w:styleId="FirstLevelBulletsChar">
    <w:name w:val="First Level Bullets Char"/>
    <w:basedOn w:val="DefaultParagraphFont"/>
    <w:link w:val="FirstLevelBullets"/>
    <w:rsid w:val="009D79A6"/>
    <w:rPr>
      <w:rFonts w:ascii="Avenir Next LT Pro" w:eastAsia="Calibri" w:hAnsi="Avenir Next LT Pro"/>
      <w:szCs w:val="22"/>
    </w:rPr>
  </w:style>
  <w:style w:type="character" w:customStyle="1" w:styleId="NumberedlistChar">
    <w:name w:val="Numbered list Char"/>
    <w:basedOn w:val="FirstLevelBulletsChar"/>
    <w:link w:val="Numberedlist0"/>
    <w:rsid w:val="009D79A6"/>
    <w:rPr>
      <w:rFonts w:ascii="Avenir Next LT Pro" w:eastAsia="Calibri" w:hAnsi="Avenir Next LT Pro"/>
      <w:szCs w:val="22"/>
    </w:rPr>
  </w:style>
  <w:style w:type="character" w:customStyle="1" w:styleId="UnresolvedMention2">
    <w:name w:val="Unresolved Mention2"/>
    <w:basedOn w:val="DefaultParagraphFont"/>
    <w:uiPriority w:val="99"/>
    <w:semiHidden/>
    <w:unhideWhenUsed/>
    <w:rsid w:val="004034CD"/>
    <w:rPr>
      <w:color w:val="605E5C"/>
      <w:shd w:val="clear" w:color="auto" w:fill="E1DFDD"/>
    </w:rPr>
  </w:style>
  <w:style w:type="character" w:styleId="UnresolvedMention">
    <w:name w:val="Unresolved Mention"/>
    <w:basedOn w:val="DefaultParagraphFont"/>
    <w:uiPriority w:val="99"/>
    <w:semiHidden/>
    <w:unhideWhenUsed/>
    <w:rsid w:val="00303466"/>
    <w:rPr>
      <w:color w:val="605E5C"/>
      <w:shd w:val="clear" w:color="auto" w:fill="E1DFDD"/>
    </w:rPr>
  </w:style>
  <w:style w:type="paragraph" w:styleId="NormalWeb">
    <w:name w:val="Normal (Web)"/>
    <w:basedOn w:val="Normal"/>
    <w:uiPriority w:val="99"/>
    <w:semiHidden/>
    <w:unhideWhenUsed/>
    <w:rsid w:val="005C58E5"/>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223716">
      <w:bodyDiv w:val="1"/>
      <w:marLeft w:val="0"/>
      <w:marRight w:val="0"/>
      <w:marTop w:val="0"/>
      <w:marBottom w:val="0"/>
      <w:divBdr>
        <w:top w:val="none" w:sz="0" w:space="0" w:color="auto"/>
        <w:left w:val="none" w:sz="0" w:space="0" w:color="auto"/>
        <w:bottom w:val="none" w:sz="0" w:space="0" w:color="auto"/>
        <w:right w:val="none" w:sz="0" w:space="0" w:color="auto"/>
      </w:divBdr>
    </w:div>
    <w:div w:id="1494294875">
      <w:bodyDiv w:val="1"/>
      <w:marLeft w:val="0"/>
      <w:marRight w:val="0"/>
      <w:marTop w:val="0"/>
      <w:marBottom w:val="0"/>
      <w:divBdr>
        <w:top w:val="none" w:sz="0" w:space="0" w:color="auto"/>
        <w:left w:val="none" w:sz="0" w:space="0" w:color="auto"/>
        <w:bottom w:val="none" w:sz="0" w:space="0" w:color="auto"/>
        <w:right w:val="none" w:sz="0" w:space="0" w:color="auto"/>
      </w:divBdr>
      <w:divsChild>
        <w:div w:id="1306815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33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mea01.safelinks.protection.outlook.com/?url=https%3A%2F%2Fwww.gov.uk%2Fgovernment%2Fpublications%2Fthe-protected-landscapes-duty%2Fguidance-for-relevant-authorities-on-seeking-to-further-the-purposes-of-protected-landscapes&amp;data=05%7C02%7C%7C21fce53fe9d34578e62c08dd23410bd7%7C84df9e7fe9f640afb435aaaaaaaaaaaa%7C1%7C0%7C638705486452127856%7CUnknown%7CTWFpbGZsb3d8eyJFbXB0eU1hcGkiOnRydWUsIlYiOiIwLjAuMDAwMCIsIlAiOiJXaW4zMiIsIkFOIjoiTWFpbCIsIldUIjoyfQ%3D%3D%7C0%7C%7C%7C&amp;sdata=YpLos742Tj%2FvsL88KJvqcMVB6mmUSz96wTW1%2Fq07q8c%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mea01.safelinks.protection.outlook.com/?url=https%3A%2F%2Fwww.ofwat.gov.uk%2Fwp-content%2Fuploads%2F2024%2F10%2FOFF-SEN-AR24-JRL-letter-Southern-Water-Draft-Final.pdf&amp;data=05%7C02%7C%7C21fce53fe9d34578e62c08dd23410bd7%7C84df9e7fe9f640afb435aaaaaaaaaaaa%7C1%7C0%7C638705486452020181%7CUnknown%7CTWFpbGZsb3d8eyJFbXB0eU1hcGkiOnRydWUsIlYiOiIwLjAuMDAwMCIsIlAiOiJXaW4zMiIsIkFOIjoiTWFpbCIsIldUIjoyfQ%3D%3D%7C0%7C%7C%7C&amp;sdata=NOUe49eQucnFSqWgnYUfMyelUhNh8T6k0wOXi9y9aec%3D&amp;reserve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Brand%20Hub\Templates\Word\2455_WfL_Report.dotx" TargetMode="External"/></Relationships>
</file>

<file path=word/theme/theme1.xml><?xml version="1.0" encoding="utf-8"?>
<a:theme xmlns:a="http://schemas.openxmlformats.org/drawingml/2006/main" name="SW1">
  <a:themeElements>
    <a:clrScheme name="Water for Life">
      <a:dk1>
        <a:srgbClr val="53565A"/>
      </a:dk1>
      <a:lt1>
        <a:sysClr val="window" lastClr="FFFFFF"/>
      </a:lt1>
      <a:dk2>
        <a:srgbClr val="174290"/>
      </a:dk2>
      <a:lt2>
        <a:srgbClr val="009FE3"/>
      </a:lt2>
      <a:accent1>
        <a:srgbClr val="3C92D0"/>
      </a:accent1>
      <a:accent2>
        <a:srgbClr val="FAB41A"/>
      </a:accent2>
      <a:accent3>
        <a:srgbClr val="00AAC6"/>
      </a:accent3>
      <a:accent4>
        <a:srgbClr val="A15499"/>
      </a:accent4>
      <a:accent5>
        <a:srgbClr val="779A4A"/>
      </a:accent5>
      <a:accent6>
        <a:srgbClr val="DF4613"/>
      </a:accent6>
      <a:hlink>
        <a:srgbClr val="009FE3"/>
      </a:hlink>
      <a:folHlink>
        <a:srgbClr val="174290"/>
      </a:folHlink>
    </a:clrScheme>
    <a:fontScheme name="Southern Wate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92FDFEE7530A49B520860623434053" ma:contentTypeVersion="8" ma:contentTypeDescription="Create a new document." ma:contentTypeScope="" ma:versionID="67483565d77980e33c3f3a61de78861b">
  <xsd:schema xmlns:xsd="http://www.w3.org/2001/XMLSchema" xmlns:xs="http://www.w3.org/2001/XMLSchema" xmlns:p="http://schemas.microsoft.com/office/2006/metadata/properties" xmlns:ns2="f18a0797-6f5c-4f66-85b8-b6dbe4495bb4" targetNamespace="http://schemas.microsoft.com/office/2006/metadata/properties" ma:root="true" ma:fieldsID="39b1153be8c7bbf60f5cd020d675b00a" ns2:_="">
    <xsd:import namespace="f18a0797-6f5c-4f66-85b8-b6dbe4495b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0797-6f5c-4f66-85b8-b6dbe4495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6E435-181C-41C7-89EC-5290BE29EC7A}">
  <ds:schemaRefs>
    <ds:schemaRef ds:uri="http://schemas.microsoft.com/office/2006/metadata/properties"/>
    <ds:schemaRef ds:uri="http://schemas.microsoft.com/office/infopath/2007/PartnerControls"/>
    <ds:schemaRef ds:uri="0920c661-897d-428a-993b-5ecde4eed87f"/>
    <ds:schemaRef ds:uri="ca631f31-9320-43f0-91c7-33105519ad6a"/>
  </ds:schemaRefs>
</ds:datastoreItem>
</file>

<file path=customXml/itemProps2.xml><?xml version="1.0" encoding="utf-8"?>
<ds:datastoreItem xmlns:ds="http://schemas.openxmlformats.org/officeDocument/2006/customXml" ds:itemID="{26436902-5D05-4268-B574-EF2EA74DC091}">
  <ds:schemaRefs>
    <ds:schemaRef ds:uri="http://schemas.openxmlformats.org/officeDocument/2006/bibliography"/>
  </ds:schemaRefs>
</ds:datastoreItem>
</file>

<file path=customXml/itemProps3.xml><?xml version="1.0" encoding="utf-8"?>
<ds:datastoreItem xmlns:ds="http://schemas.openxmlformats.org/officeDocument/2006/customXml" ds:itemID="{8BA38356-B2A8-419B-A789-D9F5777EEAD5}">
  <ds:schemaRefs>
    <ds:schemaRef ds:uri="http://schemas.microsoft.com/sharepoint/v3/contenttype/forms"/>
  </ds:schemaRefs>
</ds:datastoreItem>
</file>

<file path=customXml/itemProps4.xml><?xml version="1.0" encoding="utf-8"?>
<ds:datastoreItem xmlns:ds="http://schemas.openxmlformats.org/officeDocument/2006/customXml" ds:itemID="{51B75D74-6207-4DF8-8585-912D9309BB4D}"/>
</file>

<file path=docProps/app.xml><?xml version="1.0" encoding="utf-8"?>
<Properties xmlns="http://schemas.openxmlformats.org/officeDocument/2006/extended-properties" xmlns:vt="http://schemas.openxmlformats.org/officeDocument/2006/docPropsVTypes">
  <Template>2455_WfL_Report</Template>
  <TotalTime>0</TotalTime>
  <Pages>10</Pages>
  <Words>3523</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Jarratt, David</dc:creator>
  <cp:keywords/>
  <dc:description/>
  <cp:lastModifiedBy>Ross, Dan</cp:lastModifiedBy>
  <cp:revision>2</cp:revision>
  <cp:lastPrinted>2018-12-20T10:31:00Z</cp:lastPrinted>
  <dcterms:created xsi:type="dcterms:W3CDTF">2025-01-13T10:45:00Z</dcterms:created>
  <dcterms:modified xsi:type="dcterms:W3CDTF">2025-01-13T10:45:00Z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InformationType">
    <vt:lpwstr/>
  </property>
  <property fmtid="{D5CDD505-2E9C-101B-9397-08002B2CF9AE}" pid="4" name="HOSiteType">
    <vt:lpwstr>10;#Team|ff0485df-0575-416f-802f-e999165821b7</vt:lpwstr>
  </property>
  <property fmtid="{D5CDD505-2E9C-101B-9397-08002B2CF9AE}" pid="5" name="Distribution">
    <vt:lpwstr>9;#Internal EA|b77da37e-7166-4741-8c12-4679faab22d9</vt:lpwstr>
  </property>
  <property fmtid="{D5CDD505-2E9C-101B-9397-08002B2CF9AE}" pid="6" name="OrganisationalUnit">
    <vt:lpwstr>8;#EA|d5f78ddb-b1b6-4328-9877-d7e3ed06fdac</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ContentTypeId">
    <vt:lpwstr>0x0101001C92FDFEE7530A49B520860623434053</vt:lpwstr>
  </property>
  <property fmtid="{D5CDD505-2E9C-101B-9397-08002B2CF9AE}" pid="11" name="docLang">
    <vt:lpwstr>en</vt:lpwstr>
  </property>
</Properties>
</file>